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7437" w14:textId="4AD3DC58" w:rsidR="00DC24DB" w:rsidRPr="00BC2278" w:rsidRDefault="00DC24DB" w:rsidP="00DC24DB">
      <w:pPr>
        <w:pStyle w:val="TtuloTDC"/>
        <w:jc w:val="center"/>
        <w:rPr>
          <w:rFonts w:ascii="Gothic720 BT" w:eastAsiaTheme="minorHAnsi" w:hAnsi="Gothic720 BT" w:cstheme="minorBidi"/>
          <w:b/>
          <w:bCs/>
          <w:color w:val="auto"/>
          <w:sz w:val="22"/>
          <w:szCs w:val="22"/>
          <w:lang w:eastAsia="en-US"/>
        </w:rPr>
      </w:pPr>
      <w:bookmarkStart w:id="0" w:name="_Hlk131591343"/>
      <w:r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  <w:lang w:eastAsia="en-US"/>
        </w:rPr>
        <w:t xml:space="preserve">Lineamientos </w:t>
      </w:r>
      <w:r w:rsidR="0087656C"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  <w:lang w:eastAsia="en-US"/>
        </w:rPr>
        <w:t xml:space="preserve">del Instituto Electoral del Estado de Querétaro </w:t>
      </w:r>
      <w:r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  <w:lang w:eastAsia="en-US"/>
        </w:rPr>
        <w:t xml:space="preserve">para la realización de estudios de pertinencia </w:t>
      </w:r>
      <w:r w:rsidR="00022226"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  <w:lang w:eastAsia="en-US"/>
        </w:rPr>
        <w:t>y</w:t>
      </w:r>
      <w:r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  <w:lang w:eastAsia="en-US"/>
        </w:rPr>
        <w:t xml:space="preserve"> efectividad de las Campañas de Comunicación Social</w:t>
      </w:r>
      <w:r w:rsidR="0087656C"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  <w:lang w:eastAsia="en-US"/>
        </w:rPr>
        <w:t>.</w:t>
      </w:r>
    </w:p>
    <w:bookmarkEnd w:id="0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6060763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D59AD4" w14:textId="3D893274" w:rsidR="00DC24DB" w:rsidRPr="00BC2278" w:rsidRDefault="00DC24DB">
          <w:pPr>
            <w:pStyle w:val="TtuloTDC"/>
            <w:rPr>
              <w:rFonts w:ascii="Gothic720 BT" w:hAnsi="Gothic720 BT"/>
              <w:sz w:val="2"/>
              <w:szCs w:val="2"/>
            </w:rPr>
          </w:pPr>
        </w:p>
        <w:p w14:paraId="25AD4E9B" w14:textId="1395B250" w:rsidR="006D7CFE" w:rsidRPr="00BC2278" w:rsidRDefault="00DC24DB">
          <w:pPr>
            <w:pStyle w:val="TDC1"/>
            <w:rPr>
              <w:rStyle w:val="Hipervnculo"/>
              <w:sz w:val="22"/>
              <w:szCs w:val="22"/>
            </w:rPr>
          </w:pPr>
          <w:r w:rsidRPr="00BC2278">
            <w:rPr>
              <w:b/>
              <w:bCs/>
            </w:rPr>
            <w:fldChar w:fldCharType="begin"/>
          </w:r>
          <w:r w:rsidRPr="00BC2278">
            <w:instrText xml:space="preserve"> TOC \o "1-3" \h \z \u </w:instrText>
          </w:r>
          <w:r w:rsidRPr="00BC2278">
            <w:rPr>
              <w:b/>
              <w:bCs/>
            </w:rPr>
            <w:fldChar w:fldCharType="separate"/>
          </w:r>
          <w:hyperlink w:anchor="_Toc132727304" w:history="1">
            <w:r w:rsidR="006D7CFE" w:rsidRPr="00BC2278">
              <w:rPr>
                <w:rStyle w:val="Hipervnculo"/>
                <w:b/>
                <w:bCs/>
                <w:sz w:val="22"/>
                <w:szCs w:val="22"/>
              </w:rPr>
              <w:t>Exposición de motivos</w:t>
            </w:r>
            <w:r w:rsidR="006D7CFE" w:rsidRPr="00BC2278">
              <w:rPr>
                <w:webHidden/>
                <w:sz w:val="22"/>
                <w:szCs w:val="22"/>
              </w:rPr>
              <w:tab/>
            </w:r>
            <w:r w:rsidR="006D7CFE" w:rsidRPr="00BC2278">
              <w:rPr>
                <w:webHidden/>
                <w:sz w:val="22"/>
                <w:szCs w:val="22"/>
              </w:rPr>
              <w:fldChar w:fldCharType="begin"/>
            </w:r>
            <w:r w:rsidR="006D7CFE" w:rsidRPr="00BC2278">
              <w:rPr>
                <w:webHidden/>
                <w:sz w:val="22"/>
                <w:szCs w:val="22"/>
              </w:rPr>
              <w:instrText xml:space="preserve"> PAGEREF _Toc132727304 \h </w:instrText>
            </w:r>
            <w:r w:rsidR="006D7CFE" w:rsidRPr="00BC2278">
              <w:rPr>
                <w:webHidden/>
                <w:sz w:val="22"/>
                <w:szCs w:val="22"/>
              </w:rPr>
            </w:r>
            <w:r w:rsidR="006D7CFE" w:rsidRPr="00BC2278">
              <w:rPr>
                <w:webHidden/>
                <w:sz w:val="22"/>
                <w:szCs w:val="22"/>
              </w:rPr>
              <w:fldChar w:fldCharType="separate"/>
            </w:r>
            <w:r w:rsidR="00264566">
              <w:rPr>
                <w:webHidden/>
                <w:sz w:val="22"/>
                <w:szCs w:val="22"/>
              </w:rPr>
              <w:t>- 2 -</w:t>
            </w:r>
            <w:r w:rsidR="006D7CFE" w:rsidRPr="00BC227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6BF5E9AF" w14:textId="77777777" w:rsidR="006D7CFE" w:rsidRPr="00BC2278" w:rsidRDefault="006D7CFE" w:rsidP="006D7CFE">
          <w:pPr>
            <w:rPr>
              <w:noProof/>
              <w:sz w:val="2"/>
              <w:szCs w:val="2"/>
            </w:rPr>
          </w:pPr>
        </w:p>
        <w:p w14:paraId="04AD479D" w14:textId="117A3DE5" w:rsidR="006D7CFE" w:rsidRPr="00BC2278" w:rsidRDefault="00264566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  <w:lang w:eastAsia="es-MX"/>
            </w:rPr>
          </w:pPr>
          <w:hyperlink w:anchor="_Toc132727305" w:history="1">
            <w:r w:rsidR="006D7CFE" w:rsidRPr="00BC2278">
              <w:rPr>
                <w:rStyle w:val="Hipervnculo"/>
                <w:b/>
                <w:bCs/>
                <w:sz w:val="22"/>
                <w:szCs w:val="22"/>
              </w:rPr>
              <w:t>Título Primero</w:t>
            </w:r>
          </w:hyperlink>
        </w:p>
        <w:p w14:paraId="06A0F81A" w14:textId="5A5483A6" w:rsidR="006D7CFE" w:rsidRPr="00BC2278" w:rsidRDefault="00264566">
          <w:pPr>
            <w:pStyle w:val="TDC1"/>
            <w:rPr>
              <w:rStyle w:val="Hipervnculo"/>
              <w:sz w:val="22"/>
              <w:szCs w:val="22"/>
            </w:rPr>
          </w:pPr>
          <w:hyperlink w:anchor="_Toc132727306" w:history="1">
            <w:r w:rsidR="006D7CFE" w:rsidRPr="00BC2278">
              <w:rPr>
                <w:rStyle w:val="Hipervnculo"/>
                <w:sz w:val="22"/>
                <w:szCs w:val="22"/>
              </w:rPr>
              <w:t>Disposiciones aplicables</w:t>
            </w:r>
            <w:r w:rsidR="006D7CFE" w:rsidRPr="00BC2278">
              <w:rPr>
                <w:webHidden/>
                <w:sz w:val="22"/>
                <w:szCs w:val="22"/>
              </w:rPr>
              <w:tab/>
            </w:r>
            <w:r w:rsidR="006D7CFE" w:rsidRPr="00BC2278">
              <w:rPr>
                <w:webHidden/>
                <w:sz w:val="22"/>
                <w:szCs w:val="22"/>
              </w:rPr>
              <w:fldChar w:fldCharType="begin"/>
            </w:r>
            <w:r w:rsidR="006D7CFE" w:rsidRPr="00BC2278">
              <w:rPr>
                <w:webHidden/>
                <w:sz w:val="22"/>
                <w:szCs w:val="22"/>
              </w:rPr>
              <w:instrText xml:space="preserve"> PAGEREF _Toc132727306 \h </w:instrText>
            </w:r>
            <w:r w:rsidR="006D7CFE" w:rsidRPr="00BC2278">
              <w:rPr>
                <w:webHidden/>
                <w:sz w:val="22"/>
                <w:szCs w:val="22"/>
              </w:rPr>
            </w:r>
            <w:r w:rsidR="006D7CFE" w:rsidRPr="00BC2278">
              <w:rPr>
                <w:webHidden/>
                <w:sz w:val="22"/>
                <w:szCs w:val="22"/>
              </w:rPr>
              <w:fldChar w:fldCharType="separate"/>
            </w:r>
            <w:r>
              <w:rPr>
                <w:webHidden/>
                <w:sz w:val="22"/>
                <w:szCs w:val="22"/>
              </w:rPr>
              <w:t>- 3 -</w:t>
            </w:r>
            <w:r w:rsidR="006D7CFE" w:rsidRPr="00BC227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722D3325" w14:textId="77777777" w:rsidR="006D7CFE" w:rsidRPr="00BC2278" w:rsidRDefault="006D7CFE" w:rsidP="006D7CFE">
          <w:pPr>
            <w:rPr>
              <w:noProof/>
              <w:sz w:val="2"/>
              <w:szCs w:val="2"/>
            </w:rPr>
          </w:pPr>
        </w:p>
        <w:p w14:paraId="685ABB69" w14:textId="2C5C51B1" w:rsidR="006D7CFE" w:rsidRPr="00BC2278" w:rsidRDefault="00264566">
          <w:pPr>
            <w:pStyle w:val="TD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MX"/>
            </w:rPr>
          </w:pPr>
          <w:hyperlink w:anchor="_Toc132727307" w:history="1">
            <w:r w:rsidR="006D7CFE" w:rsidRPr="00BC2278">
              <w:rPr>
                <w:rStyle w:val="Hipervnculo"/>
                <w:sz w:val="22"/>
                <w:szCs w:val="22"/>
              </w:rPr>
              <w:t>Capítulo Único</w:t>
            </w:r>
          </w:hyperlink>
        </w:p>
        <w:p w14:paraId="7BD48D4C" w14:textId="221B2B98" w:rsidR="006D7CFE" w:rsidRPr="00BC2278" w:rsidRDefault="00264566">
          <w:pPr>
            <w:pStyle w:val="TDC2"/>
            <w:rPr>
              <w:rStyle w:val="Hipervnculo"/>
              <w:b w:val="0"/>
              <w:bCs w:val="0"/>
              <w:sz w:val="22"/>
              <w:szCs w:val="22"/>
            </w:rPr>
          </w:pPr>
          <w:hyperlink w:anchor="_Toc132727308" w:history="1">
            <w:r w:rsidR="006D7CFE" w:rsidRPr="00BC2278">
              <w:rPr>
                <w:rStyle w:val="Hipervnculo"/>
                <w:b w:val="0"/>
                <w:bCs w:val="0"/>
                <w:sz w:val="22"/>
                <w:szCs w:val="22"/>
              </w:rPr>
              <w:t>Generalidades</w:t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  <w:tab/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  <w:fldChar w:fldCharType="begin"/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  <w:instrText xml:space="preserve"> PAGEREF _Toc132727308 \h </w:instrText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  <w:fldChar w:fldCharType="separate"/>
            </w:r>
            <w:r>
              <w:rPr>
                <w:b w:val="0"/>
                <w:bCs w:val="0"/>
                <w:webHidden/>
                <w:sz w:val="22"/>
                <w:szCs w:val="22"/>
              </w:rPr>
              <w:t>- 3 -</w:t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  <w:fldChar w:fldCharType="end"/>
            </w:r>
          </w:hyperlink>
        </w:p>
        <w:p w14:paraId="4071CF3E" w14:textId="77777777" w:rsidR="006D7CFE" w:rsidRPr="00BC2278" w:rsidRDefault="006D7CFE" w:rsidP="006D7CFE">
          <w:pPr>
            <w:rPr>
              <w:noProof/>
              <w:sz w:val="2"/>
              <w:szCs w:val="2"/>
            </w:rPr>
          </w:pPr>
        </w:p>
        <w:p w14:paraId="243D9ADE" w14:textId="6944F19E" w:rsidR="006D7CFE" w:rsidRPr="00BC2278" w:rsidRDefault="00264566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  <w:lang w:eastAsia="es-MX"/>
            </w:rPr>
          </w:pPr>
          <w:hyperlink w:anchor="_Toc132727309" w:history="1">
            <w:r w:rsidR="006D7CFE" w:rsidRPr="00BC2278">
              <w:rPr>
                <w:rStyle w:val="Hipervnculo"/>
                <w:b/>
                <w:bCs/>
                <w:sz w:val="22"/>
                <w:szCs w:val="22"/>
              </w:rPr>
              <w:t>Título Segundo</w:t>
            </w:r>
          </w:hyperlink>
        </w:p>
        <w:p w14:paraId="6A6AECAB" w14:textId="4549F695" w:rsidR="006D7CFE" w:rsidRPr="00BC2278" w:rsidRDefault="00264566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  <w:lang w:eastAsia="es-MX"/>
            </w:rPr>
          </w:pPr>
          <w:hyperlink w:anchor="_Toc132727310" w:history="1">
            <w:r w:rsidR="006D7CFE" w:rsidRPr="00BC2278">
              <w:rPr>
                <w:rStyle w:val="Hipervnculo"/>
                <w:sz w:val="22"/>
                <w:szCs w:val="22"/>
              </w:rPr>
              <w:t>De los estudios de pertinencia y efectividad</w:t>
            </w:r>
          </w:hyperlink>
        </w:p>
        <w:p w14:paraId="23065AE7" w14:textId="29E968EB" w:rsidR="006D7CFE" w:rsidRPr="00BC2278" w:rsidRDefault="00264566">
          <w:pPr>
            <w:pStyle w:val="TDC1"/>
            <w:rPr>
              <w:rStyle w:val="Hipervnculo"/>
              <w:sz w:val="22"/>
              <w:szCs w:val="22"/>
            </w:rPr>
          </w:pPr>
          <w:hyperlink w:anchor="_Toc132727311" w:history="1">
            <w:r w:rsidR="006D7CFE" w:rsidRPr="00BC2278">
              <w:rPr>
                <w:rStyle w:val="Hipervnculo"/>
                <w:sz w:val="22"/>
                <w:szCs w:val="22"/>
              </w:rPr>
              <w:t>de las Campañas de Comunicación Social del Instituto</w:t>
            </w:r>
            <w:r w:rsidR="006D7CFE" w:rsidRPr="00BC2278">
              <w:rPr>
                <w:webHidden/>
                <w:sz w:val="22"/>
                <w:szCs w:val="22"/>
              </w:rPr>
              <w:tab/>
            </w:r>
            <w:r w:rsidR="006D7CFE" w:rsidRPr="00BC2278">
              <w:rPr>
                <w:webHidden/>
                <w:sz w:val="22"/>
                <w:szCs w:val="22"/>
              </w:rPr>
              <w:fldChar w:fldCharType="begin"/>
            </w:r>
            <w:r w:rsidR="006D7CFE" w:rsidRPr="00BC2278">
              <w:rPr>
                <w:webHidden/>
                <w:sz w:val="22"/>
                <w:szCs w:val="22"/>
              </w:rPr>
              <w:instrText xml:space="preserve"> PAGEREF _Toc132727311 \h </w:instrText>
            </w:r>
            <w:r w:rsidR="006D7CFE" w:rsidRPr="00BC2278">
              <w:rPr>
                <w:webHidden/>
                <w:sz w:val="22"/>
                <w:szCs w:val="22"/>
              </w:rPr>
            </w:r>
            <w:r w:rsidR="006D7CFE" w:rsidRPr="00BC2278">
              <w:rPr>
                <w:webHidden/>
                <w:sz w:val="22"/>
                <w:szCs w:val="22"/>
              </w:rPr>
              <w:fldChar w:fldCharType="separate"/>
            </w:r>
            <w:r>
              <w:rPr>
                <w:webHidden/>
                <w:sz w:val="22"/>
                <w:szCs w:val="22"/>
              </w:rPr>
              <w:t>- 5 -</w:t>
            </w:r>
            <w:r w:rsidR="006D7CFE" w:rsidRPr="00BC227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48E09CA9" w14:textId="77777777" w:rsidR="006D7CFE" w:rsidRPr="00BC2278" w:rsidRDefault="006D7CFE" w:rsidP="006D7CFE">
          <w:pPr>
            <w:rPr>
              <w:noProof/>
              <w:sz w:val="2"/>
              <w:szCs w:val="2"/>
            </w:rPr>
          </w:pPr>
        </w:p>
        <w:p w14:paraId="45DA1048" w14:textId="5DB5E96C" w:rsidR="006D7CFE" w:rsidRPr="00BC2278" w:rsidRDefault="00264566">
          <w:pPr>
            <w:pStyle w:val="TD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MX"/>
            </w:rPr>
          </w:pPr>
          <w:hyperlink w:anchor="_Toc132727312" w:history="1">
            <w:r w:rsidR="006D7CFE" w:rsidRPr="00BC2278">
              <w:rPr>
                <w:rStyle w:val="Hipervnculo"/>
                <w:sz w:val="22"/>
                <w:szCs w:val="22"/>
              </w:rPr>
              <w:t>Capítulo primero</w:t>
            </w:r>
          </w:hyperlink>
        </w:p>
        <w:p w14:paraId="59AF751E" w14:textId="6EB18E95" w:rsidR="006D7CFE" w:rsidRPr="00BC2278" w:rsidRDefault="00264566">
          <w:pPr>
            <w:pStyle w:val="TDC2"/>
            <w:rPr>
              <w:rStyle w:val="Hipervnculo"/>
              <w:b w:val="0"/>
              <w:bCs w:val="0"/>
              <w:sz w:val="22"/>
              <w:szCs w:val="22"/>
            </w:rPr>
          </w:pPr>
          <w:hyperlink w:anchor="_Toc132727313" w:history="1">
            <w:r w:rsidR="006D7CFE" w:rsidRPr="00BC2278">
              <w:rPr>
                <w:rStyle w:val="Hipervnculo"/>
                <w:b w:val="0"/>
                <w:bCs w:val="0"/>
                <w:sz w:val="22"/>
                <w:szCs w:val="22"/>
              </w:rPr>
              <w:t>De los estudios de pertinencia</w:t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  <w:tab/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  <w:fldChar w:fldCharType="begin"/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  <w:instrText xml:space="preserve"> PAGEREF _Toc132727313 \h </w:instrText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  <w:fldChar w:fldCharType="separate"/>
            </w:r>
            <w:r>
              <w:rPr>
                <w:b w:val="0"/>
                <w:bCs w:val="0"/>
                <w:webHidden/>
                <w:sz w:val="22"/>
                <w:szCs w:val="22"/>
              </w:rPr>
              <w:t>- 5 -</w:t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  <w:fldChar w:fldCharType="end"/>
            </w:r>
          </w:hyperlink>
        </w:p>
        <w:p w14:paraId="10A495EE" w14:textId="77777777" w:rsidR="006D7CFE" w:rsidRPr="00BC2278" w:rsidRDefault="006D7CFE" w:rsidP="006D7CFE">
          <w:pPr>
            <w:rPr>
              <w:noProof/>
              <w:sz w:val="2"/>
              <w:szCs w:val="2"/>
            </w:rPr>
          </w:pPr>
        </w:p>
        <w:p w14:paraId="3B2CED5F" w14:textId="0A41D707" w:rsidR="006D7CFE" w:rsidRPr="00BC2278" w:rsidRDefault="00264566">
          <w:pPr>
            <w:pStyle w:val="TD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MX"/>
            </w:rPr>
          </w:pPr>
          <w:hyperlink w:anchor="_Toc132727314" w:history="1">
            <w:r w:rsidR="006D7CFE" w:rsidRPr="00BC2278">
              <w:rPr>
                <w:rStyle w:val="Hipervnculo"/>
                <w:sz w:val="22"/>
                <w:szCs w:val="22"/>
              </w:rPr>
              <w:t>Capítulo segundo</w:t>
            </w:r>
          </w:hyperlink>
        </w:p>
        <w:p w14:paraId="459B1773" w14:textId="23E8302F" w:rsidR="006D7CFE" w:rsidRPr="00BC2278" w:rsidRDefault="00264566">
          <w:pPr>
            <w:pStyle w:val="TDC2"/>
            <w:rPr>
              <w:rStyle w:val="Hipervnculo"/>
              <w:b w:val="0"/>
              <w:bCs w:val="0"/>
              <w:sz w:val="22"/>
              <w:szCs w:val="22"/>
            </w:rPr>
          </w:pPr>
          <w:hyperlink w:anchor="_Toc132727315" w:history="1">
            <w:r w:rsidR="006D7CFE" w:rsidRPr="00BC2278">
              <w:rPr>
                <w:rStyle w:val="Hipervnculo"/>
                <w:b w:val="0"/>
                <w:bCs w:val="0"/>
                <w:sz w:val="22"/>
                <w:szCs w:val="22"/>
              </w:rPr>
              <w:t>De los estudios de efectividad</w:t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  <w:tab/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  <w:fldChar w:fldCharType="begin"/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  <w:instrText xml:space="preserve"> PAGEREF _Toc132727315 \h </w:instrText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  <w:fldChar w:fldCharType="separate"/>
            </w:r>
            <w:r>
              <w:rPr>
                <w:b w:val="0"/>
                <w:bCs w:val="0"/>
                <w:webHidden/>
                <w:sz w:val="22"/>
                <w:szCs w:val="22"/>
              </w:rPr>
              <w:t>- 5 -</w:t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  <w:fldChar w:fldCharType="end"/>
            </w:r>
          </w:hyperlink>
        </w:p>
        <w:p w14:paraId="6A9EEE44" w14:textId="77777777" w:rsidR="006D7CFE" w:rsidRPr="00BC2278" w:rsidRDefault="006D7CFE" w:rsidP="006D7CFE">
          <w:pPr>
            <w:rPr>
              <w:noProof/>
              <w:sz w:val="2"/>
              <w:szCs w:val="2"/>
            </w:rPr>
          </w:pPr>
        </w:p>
        <w:p w14:paraId="69DF6A9F" w14:textId="64856FCA" w:rsidR="006D7CFE" w:rsidRPr="00BC2278" w:rsidRDefault="00264566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  <w:lang w:eastAsia="es-MX"/>
            </w:rPr>
          </w:pPr>
          <w:hyperlink w:anchor="_Toc132727316" w:history="1">
            <w:r w:rsidR="006D7CFE" w:rsidRPr="00BC2278">
              <w:rPr>
                <w:rStyle w:val="Hipervnculo"/>
                <w:b/>
                <w:bCs/>
                <w:sz w:val="22"/>
                <w:szCs w:val="22"/>
              </w:rPr>
              <w:t>Título tercero</w:t>
            </w:r>
          </w:hyperlink>
        </w:p>
        <w:p w14:paraId="3B0A396B" w14:textId="26A845FA" w:rsidR="006D7CFE" w:rsidRPr="00BC2278" w:rsidRDefault="00264566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  <w:lang w:eastAsia="es-MX"/>
            </w:rPr>
          </w:pPr>
          <w:hyperlink w:anchor="_Toc132727317" w:history="1">
            <w:r w:rsidR="006D7CFE" w:rsidRPr="00BC2278">
              <w:rPr>
                <w:rStyle w:val="Hipervnculo"/>
                <w:sz w:val="22"/>
                <w:szCs w:val="22"/>
              </w:rPr>
              <w:t>De las disposiciones comunes en los estudios de pertinencia</w:t>
            </w:r>
          </w:hyperlink>
        </w:p>
        <w:p w14:paraId="124987AE" w14:textId="4E702FAD" w:rsidR="006D7CFE" w:rsidRPr="00BC2278" w:rsidRDefault="00264566">
          <w:pPr>
            <w:pStyle w:val="TDC1"/>
            <w:rPr>
              <w:rStyle w:val="Hipervnculo"/>
              <w:sz w:val="22"/>
              <w:szCs w:val="22"/>
            </w:rPr>
          </w:pPr>
          <w:hyperlink w:anchor="_Toc132727318" w:history="1">
            <w:r w:rsidR="006D7CFE" w:rsidRPr="00BC2278">
              <w:rPr>
                <w:rStyle w:val="Hipervnculo"/>
                <w:sz w:val="22"/>
                <w:szCs w:val="22"/>
              </w:rPr>
              <w:t>y efectividad de las Campañas de Comunicación Social del Instituto</w:t>
            </w:r>
            <w:r w:rsidR="006D7CFE" w:rsidRPr="00BC2278">
              <w:rPr>
                <w:webHidden/>
                <w:sz w:val="22"/>
                <w:szCs w:val="22"/>
              </w:rPr>
              <w:tab/>
            </w:r>
            <w:r w:rsidR="006D7CFE" w:rsidRPr="00BC2278">
              <w:rPr>
                <w:webHidden/>
                <w:sz w:val="22"/>
                <w:szCs w:val="22"/>
              </w:rPr>
              <w:fldChar w:fldCharType="begin"/>
            </w:r>
            <w:r w:rsidR="006D7CFE" w:rsidRPr="00BC2278">
              <w:rPr>
                <w:webHidden/>
                <w:sz w:val="22"/>
                <w:szCs w:val="22"/>
              </w:rPr>
              <w:instrText xml:space="preserve"> PAGEREF _Toc132727318 \h </w:instrText>
            </w:r>
            <w:r w:rsidR="006D7CFE" w:rsidRPr="00BC2278">
              <w:rPr>
                <w:webHidden/>
                <w:sz w:val="22"/>
                <w:szCs w:val="22"/>
              </w:rPr>
            </w:r>
            <w:r w:rsidR="006D7CFE" w:rsidRPr="00BC2278">
              <w:rPr>
                <w:webHidden/>
                <w:sz w:val="22"/>
                <w:szCs w:val="22"/>
              </w:rPr>
              <w:fldChar w:fldCharType="separate"/>
            </w:r>
            <w:r>
              <w:rPr>
                <w:webHidden/>
                <w:sz w:val="22"/>
                <w:szCs w:val="22"/>
              </w:rPr>
              <w:t>- 6 -</w:t>
            </w:r>
            <w:r w:rsidR="006D7CFE" w:rsidRPr="00BC227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01C22964" w14:textId="77777777" w:rsidR="006D7CFE" w:rsidRPr="00BC2278" w:rsidRDefault="006D7CFE" w:rsidP="006D7CFE">
          <w:pPr>
            <w:rPr>
              <w:noProof/>
              <w:sz w:val="2"/>
              <w:szCs w:val="2"/>
            </w:rPr>
          </w:pPr>
        </w:p>
        <w:p w14:paraId="29E6CE77" w14:textId="0B655301" w:rsidR="006D7CFE" w:rsidRPr="00BC2278" w:rsidRDefault="00264566">
          <w:pPr>
            <w:pStyle w:val="TD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MX"/>
            </w:rPr>
          </w:pPr>
          <w:hyperlink w:anchor="_Toc132727319" w:history="1">
            <w:r w:rsidR="006D7CFE" w:rsidRPr="00BC2278">
              <w:rPr>
                <w:rStyle w:val="Hipervnculo"/>
                <w:sz w:val="22"/>
                <w:szCs w:val="22"/>
              </w:rPr>
              <w:t>Capítulo primero</w:t>
            </w:r>
          </w:hyperlink>
        </w:p>
        <w:p w14:paraId="168B842C" w14:textId="33A563E5" w:rsidR="006D7CFE" w:rsidRPr="00BC2278" w:rsidRDefault="00264566">
          <w:pPr>
            <w:pStyle w:val="TDC2"/>
            <w:rPr>
              <w:rStyle w:val="Hipervnculo"/>
              <w:b w:val="0"/>
              <w:bCs w:val="0"/>
              <w:sz w:val="22"/>
              <w:szCs w:val="22"/>
            </w:rPr>
          </w:pPr>
          <w:hyperlink w:anchor="_Toc132727320" w:history="1">
            <w:r w:rsidR="006D7CFE" w:rsidRPr="00BC2278">
              <w:rPr>
                <w:rStyle w:val="Hipervnculo"/>
                <w:b w:val="0"/>
                <w:bCs w:val="0"/>
                <w:sz w:val="22"/>
                <w:szCs w:val="22"/>
              </w:rPr>
              <w:t>Disposiciones comunes</w:t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  <w:tab/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  <w:fldChar w:fldCharType="begin"/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  <w:instrText xml:space="preserve"> PAGEREF _Toc132727320 \h </w:instrText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  <w:fldChar w:fldCharType="separate"/>
            </w:r>
            <w:r>
              <w:rPr>
                <w:b w:val="0"/>
                <w:bCs w:val="0"/>
                <w:webHidden/>
                <w:sz w:val="22"/>
                <w:szCs w:val="22"/>
              </w:rPr>
              <w:t>- 6 -</w:t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  <w:fldChar w:fldCharType="end"/>
            </w:r>
          </w:hyperlink>
        </w:p>
        <w:p w14:paraId="5E0B959E" w14:textId="77777777" w:rsidR="006D7CFE" w:rsidRPr="00BC2278" w:rsidRDefault="006D7CFE" w:rsidP="006D7CFE">
          <w:pPr>
            <w:rPr>
              <w:noProof/>
              <w:sz w:val="2"/>
              <w:szCs w:val="2"/>
            </w:rPr>
          </w:pPr>
        </w:p>
        <w:p w14:paraId="015A56C4" w14:textId="317BAE86" w:rsidR="006D7CFE" w:rsidRPr="00BC2278" w:rsidRDefault="00264566">
          <w:pPr>
            <w:pStyle w:val="TD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s-MX"/>
            </w:rPr>
          </w:pPr>
          <w:hyperlink w:anchor="_Toc132727321" w:history="1">
            <w:r w:rsidR="006D7CFE" w:rsidRPr="00BC2278">
              <w:rPr>
                <w:rStyle w:val="Hipervnculo"/>
                <w:rFonts w:eastAsiaTheme="majorEastAsia" w:cstheme="majorBidi"/>
                <w:sz w:val="22"/>
                <w:szCs w:val="22"/>
                <w:u w:val="none"/>
              </w:rPr>
              <w:t>Capítulo</w:t>
            </w:r>
            <w:r w:rsidR="006D7CFE" w:rsidRPr="00BC2278">
              <w:rPr>
                <w:rStyle w:val="Hipervnculo"/>
                <w:rFonts w:eastAsiaTheme="majorEastAsia" w:cstheme="majorBidi"/>
                <w:sz w:val="22"/>
                <w:szCs w:val="22"/>
              </w:rPr>
              <w:t xml:space="preserve"> segundo</w:t>
            </w:r>
          </w:hyperlink>
        </w:p>
        <w:p w14:paraId="01BF5B53" w14:textId="7DFA904B" w:rsidR="006D7CFE" w:rsidRPr="00BC2278" w:rsidRDefault="00264566">
          <w:pPr>
            <w:pStyle w:val="TDC2"/>
            <w:rPr>
              <w:rStyle w:val="Hipervnculo"/>
              <w:b w:val="0"/>
              <w:bCs w:val="0"/>
              <w:sz w:val="22"/>
              <w:szCs w:val="22"/>
            </w:rPr>
          </w:pPr>
          <w:hyperlink w:anchor="_Toc132727322" w:history="1">
            <w:r w:rsidR="006D7CFE" w:rsidRPr="00BC2278">
              <w:rPr>
                <w:rStyle w:val="Hipervnculo"/>
                <w:rFonts w:eastAsiaTheme="majorEastAsia" w:cstheme="majorBidi"/>
                <w:b w:val="0"/>
                <w:bCs w:val="0"/>
                <w:sz w:val="22"/>
                <w:szCs w:val="22"/>
              </w:rPr>
              <w:t>De la cancelación de los estudios</w:t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  <w:tab/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  <w:fldChar w:fldCharType="begin"/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  <w:instrText xml:space="preserve"> PAGEREF _Toc132727322 \h </w:instrText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  <w:fldChar w:fldCharType="separate"/>
            </w:r>
            <w:r>
              <w:rPr>
                <w:b w:val="0"/>
                <w:bCs w:val="0"/>
                <w:webHidden/>
                <w:sz w:val="22"/>
                <w:szCs w:val="22"/>
              </w:rPr>
              <w:t>- 6 -</w:t>
            </w:r>
            <w:r w:rsidR="006D7CFE" w:rsidRPr="00BC2278">
              <w:rPr>
                <w:b w:val="0"/>
                <w:bCs w:val="0"/>
                <w:webHidden/>
                <w:sz w:val="22"/>
                <w:szCs w:val="22"/>
              </w:rPr>
              <w:fldChar w:fldCharType="end"/>
            </w:r>
          </w:hyperlink>
        </w:p>
        <w:p w14:paraId="72FF5802" w14:textId="77777777" w:rsidR="006D7CFE" w:rsidRPr="00BC2278" w:rsidRDefault="006D7CFE" w:rsidP="006D7CFE">
          <w:pPr>
            <w:rPr>
              <w:noProof/>
              <w:sz w:val="2"/>
              <w:szCs w:val="2"/>
            </w:rPr>
          </w:pPr>
        </w:p>
        <w:p w14:paraId="251F2286" w14:textId="605619EC" w:rsidR="006D7CFE" w:rsidRPr="00BC2278" w:rsidRDefault="00264566">
          <w:pPr>
            <w:pStyle w:val="TDC1"/>
            <w:rPr>
              <w:rFonts w:asciiTheme="minorHAnsi" w:eastAsiaTheme="minorEastAsia" w:hAnsiTheme="minorHAnsi" w:cstheme="minorBidi"/>
              <w:sz w:val="22"/>
              <w:szCs w:val="22"/>
              <w:lang w:eastAsia="es-MX"/>
            </w:rPr>
          </w:pPr>
          <w:hyperlink w:anchor="_Toc132727323" w:history="1">
            <w:r w:rsidR="006D7CFE" w:rsidRPr="00BC2278">
              <w:rPr>
                <w:rStyle w:val="Hipervnculo"/>
                <w:b/>
                <w:bCs/>
                <w:sz w:val="22"/>
                <w:szCs w:val="22"/>
              </w:rPr>
              <w:t>Transitorios</w:t>
            </w:r>
            <w:r w:rsidR="006D7CFE" w:rsidRPr="00BC2278">
              <w:rPr>
                <w:webHidden/>
                <w:sz w:val="22"/>
                <w:szCs w:val="22"/>
              </w:rPr>
              <w:tab/>
            </w:r>
            <w:r w:rsidR="006D7CFE" w:rsidRPr="00BC2278">
              <w:rPr>
                <w:webHidden/>
                <w:sz w:val="22"/>
                <w:szCs w:val="22"/>
              </w:rPr>
              <w:fldChar w:fldCharType="begin"/>
            </w:r>
            <w:r w:rsidR="006D7CFE" w:rsidRPr="00BC2278">
              <w:rPr>
                <w:webHidden/>
                <w:sz w:val="22"/>
                <w:szCs w:val="22"/>
              </w:rPr>
              <w:instrText xml:space="preserve"> PAGEREF _Toc132727323 \h </w:instrText>
            </w:r>
            <w:r w:rsidR="006D7CFE" w:rsidRPr="00BC2278">
              <w:rPr>
                <w:webHidden/>
                <w:sz w:val="22"/>
                <w:szCs w:val="22"/>
              </w:rPr>
            </w:r>
            <w:r w:rsidR="006D7CFE" w:rsidRPr="00BC2278">
              <w:rPr>
                <w:webHidden/>
                <w:sz w:val="22"/>
                <w:szCs w:val="22"/>
              </w:rPr>
              <w:fldChar w:fldCharType="separate"/>
            </w:r>
            <w:r>
              <w:rPr>
                <w:webHidden/>
                <w:sz w:val="22"/>
                <w:szCs w:val="22"/>
              </w:rPr>
              <w:t>- 7 -</w:t>
            </w:r>
            <w:r w:rsidR="006D7CFE" w:rsidRPr="00BC2278">
              <w:rPr>
                <w:webHidden/>
                <w:sz w:val="22"/>
                <w:szCs w:val="22"/>
              </w:rPr>
              <w:fldChar w:fldCharType="end"/>
            </w:r>
          </w:hyperlink>
        </w:p>
        <w:p w14:paraId="32974A3F" w14:textId="367C2377" w:rsidR="00692572" w:rsidRPr="00BC2278" w:rsidRDefault="00DC24DB" w:rsidP="00816960">
          <w:r w:rsidRPr="00BC2278">
            <w:rPr>
              <w:rFonts w:ascii="Gothic720 BT" w:hAnsi="Gothic720 BT"/>
              <w:sz w:val="20"/>
              <w:szCs w:val="20"/>
              <w:lang w:val="es-ES"/>
            </w:rPr>
            <w:fldChar w:fldCharType="end"/>
          </w:r>
        </w:p>
      </w:sdtContent>
    </w:sdt>
    <w:p w14:paraId="5CD30E2C" w14:textId="77777777" w:rsidR="007E5D5D" w:rsidRPr="00BC2278" w:rsidRDefault="007E5D5D" w:rsidP="00660884">
      <w:pPr>
        <w:jc w:val="center"/>
        <w:rPr>
          <w:rFonts w:ascii="Gothic720 BT" w:hAnsi="Gothic720 BT"/>
          <w:b/>
          <w:bCs/>
        </w:rPr>
      </w:pPr>
    </w:p>
    <w:p w14:paraId="11365FC3" w14:textId="77777777" w:rsidR="00DC24DB" w:rsidRPr="00BC2278" w:rsidRDefault="00DC24DB" w:rsidP="00660884">
      <w:pPr>
        <w:jc w:val="center"/>
        <w:rPr>
          <w:rFonts w:ascii="Gothic720 BT" w:hAnsi="Gothic720 BT"/>
          <w:b/>
          <w:bCs/>
        </w:rPr>
      </w:pPr>
    </w:p>
    <w:p w14:paraId="3BCA811D" w14:textId="77777777" w:rsidR="00DC24DB" w:rsidRPr="00BC2278" w:rsidRDefault="00DC24DB" w:rsidP="00660884">
      <w:pPr>
        <w:jc w:val="center"/>
        <w:rPr>
          <w:rFonts w:ascii="Gothic720 BT" w:hAnsi="Gothic720 BT"/>
          <w:b/>
          <w:bCs/>
        </w:rPr>
      </w:pPr>
    </w:p>
    <w:p w14:paraId="78D69BF0" w14:textId="77777777" w:rsidR="00DC24DB" w:rsidRPr="00BC2278" w:rsidRDefault="00DC24DB" w:rsidP="00660884">
      <w:pPr>
        <w:jc w:val="center"/>
        <w:rPr>
          <w:rFonts w:ascii="Gothic720 BT" w:hAnsi="Gothic720 BT"/>
          <w:b/>
          <w:bCs/>
        </w:rPr>
      </w:pPr>
    </w:p>
    <w:p w14:paraId="553F52CA" w14:textId="432408D4" w:rsidR="00DC24DB" w:rsidRPr="00BC2278" w:rsidRDefault="00DC24DB" w:rsidP="00660884">
      <w:pPr>
        <w:jc w:val="center"/>
        <w:rPr>
          <w:rFonts w:ascii="Gothic720 BT" w:hAnsi="Gothic720 BT"/>
          <w:b/>
          <w:bCs/>
        </w:rPr>
      </w:pPr>
    </w:p>
    <w:p w14:paraId="58739025" w14:textId="77777777" w:rsidR="00617911" w:rsidRPr="00BC2278" w:rsidRDefault="00617911" w:rsidP="00660884">
      <w:pPr>
        <w:jc w:val="center"/>
        <w:rPr>
          <w:rFonts w:ascii="Gothic720 BT" w:hAnsi="Gothic720 BT"/>
          <w:b/>
          <w:bCs/>
        </w:rPr>
      </w:pPr>
    </w:p>
    <w:p w14:paraId="1BF52704" w14:textId="7B05E370" w:rsidR="00DC24DB" w:rsidRPr="00BC2278" w:rsidRDefault="00DC24DB" w:rsidP="00660884">
      <w:pPr>
        <w:jc w:val="center"/>
        <w:rPr>
          <w:rFonts w:ascii="Gothic720 BT" w:hAnsi="Gothic720 BT"/>
          <w:b/>
          <w:bCs/>
        </w:rPr>
      </w:pPr>
    </w:p>
    <w:p w14:paraId="2BF32AD6" w14:textId="2ABF23FE" w:rsidR="00AF6DAF" w:rsidRPr="00BC2278" w:rsidRDefault="00AF6DAF" w:rsidP="00660884">
      <w:pPr>
        <w:jc w:val="center"/>
        <w:rPr>
          <w:rFonts w:ascii="Gothic720 BT" w:hAnsi="Gothic720 BT"/>
          <w:b/>
          <w:bCs/>
        </w:rPr>
      </w:pPr>
    </w:p>
    <w:p w14:paraId="3D545DED" w14:textId="77777777" w:rsidR="00DC24DB" w:rsidRPr="00BC2278" w:rsidRDefault="00DC24DB" w:rsidP="00DC24DB">
      <w:pPr>
        <w:rPr>
          <w:rFonts w:ascii="Gothic720 BT" w:hAnsi="Gothic720 BT"/>
          <w:b/>
          <w:bCs/>
        </w:rPr>
      </w:pPr>
    </w:p>
    <w:p w14:paraId="30EE56F3" w14:textId="04DB368B" w:rsidR="001F1954" w:rsidRPr="00BC2278" w:rsidRDefault="00660884" w:rsidP="00B448DF">
      <w:pPr>
        <w:pStyle w:val="Ttulo1"/>
        <w:jc w:val="center"/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</w:pPr>
      <w:bookmarkStart w:id="1" w:name="_Toc132727304"/>
      <w:bookmarkStart w:id="2" w:name="_Hlk131592597"/>
      <w:r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lastRenderedPageBreak/>
        <w:t>Exposición de motivos</w:t>
      </w:r>
      <w:bookmarkEnd w:id="1"/>
    </w:p>
    <w:p w14:paraId="36128C2F" w14:textId="77777777" w:rsidR="00F312A9" w:rsidRPr="00BC2278" w:rsidRDefault="00F312A9" w:rsidP="00B448DF"/>
    <w:bookmarkEnd w:id="2"/>
    <w:p w14:paraId="1DC7DB28" w14:textId="07A3FA1F" w:rsidR="00D40160" w:rsidRPr="00BC2278" w:rsidRDefault="00D40160" w:rsidP="00D40160">
      <w:pPr>
        <w:spacing w:line="276" w:lineRule="auto"/>
        <w:jc w:val="both"/>
        <w:rPr>
          <w:rFonts w:ascii="Gothic720 BT" w:hAnsi="Gothic720 BT"/>
        </w:rPr>
      </w:pPr>
      <w:r w:rsidRPr="00BC2278">
        <w:rPr>
          <w:rFonts w:ascii="Gothic720 BT" w:hAnsi="Gothic720 BT"/>
        </w:rPr>
        <w:t xml:space="preserve">Los presentes Lineamientos se emiten de conformidad con </w:t>
      </w:r>
      <w:r w:rsidR="00261D7A" w:rsidRPr="00BC2278">
        <w:rPr>
          <w:rFonts w:ascii="Gothic720 BT" w:hAnsi="Gothic720 BT"/>
        </w:rPr>
        <w:t>los</w:t>
      </w:r>
      <w:r w:rsidRPr="00BC2278">
        <w:rPr>
          <w:rFonts w:ascii="Gothic720 BT" w:hAnsi="Gothic720 BT"/>
        </w:rPr>
        <w:t xml:space="preserve"> artículo</w:t>
      </w:r>
      <w:r w:rsidR="00261D7A" w:rsidRPr="00BC2278">
        <w:rPr>
          <w:rFonts w:ascii="Gothic720 BT" w:hAnsi="Gothic720 BT"/>
        </w:rPr>
        <w:t>s</w:t>
      </w:r>
      <w:r w:rsidRPr="00BC2278">
        <w:rPr>
          <w:rFonts w:ascii="Gothic720 BT" w:hAnsi="Gothic720 BT"/>
        </w:rPr>
        <w:t xml:space="preserve"> 134, párrafo octavo de la Constitución Política de los Estados Unidos Mexicanos y 6 de la Ley Electoral del Estado de Querétaro </w:t>
      </w:r>
      <w:r w:rsidR="00574BE0" w:rsidRPr="00BC2278">
        <w:rPr>
          <w:rFonts w:ascii="Gothic720 BT" w:hAnsi="Gothic720 BT"/>
        </w:rPr>
        <w:t>los cuales regulan que</w:t>
      </w:r>
      <w:r w:rsidRPr="00BC2278">
        <w:rPr>
          <w:rFonts w:ascii="Gothic720 BT" w:hAnsi="Gothic720 BT"/>
        </w:rPr>
        <w:t xml:space="preserve"> la propaganda, bajo cualquier modalidad de comunicación social</w:t>
      </w:r>
      <w:r w:rsidR="00574BE0" w:rsidRPr="00BC2278">
        <w:rPr>
          <w:rFonts w:ascii="Gothic720 BT" w:hAnsi="Gothic720 BT"/>
        </w:rPr>
        <w:t xml:space="preserve"> </w:t>
      </w:r>
      <w:r w:rsidRPr="00BC2278">
        <w:rPr>
          <w:rFonts w:ascii="Gothic720 BT" w:hAnsi="Gothic720 BT"/>
        </w:rPr>
        <w:t>que difundan los poderes públicos, órganos autónomos, dependencias y entidades de la administración pública</w:t>
      </w:r>
      <w:r w:rsidR="00574BE0" w:rsidRPr="00BC2278">
        <w:rPr>
          <w:rFonts w:ascii="Gothic720 BT" w:hAnsi="Gothic720 BT"/>
        </w:rPr>
        <w:t>, así como los entes de los t</w:t>
      </w:r>
      <w:r w:rsidRPr="00BC2278">
        <w:rPr>
          <w:rFonts w:ascii="Gothic720 BT" w:hAnsi="Gothic720 BT"/>
        </w:rPr>
        <w:t>res órdenes de gobierno, debe tener carácter institucional y fines informativos, educativos o de orientación social</w:t>
      </w:r>
      <w:r w:rsidR="0025114D" w:rsidRPr="00BC2278">
        <w:rPr>
          <w:rFonts w:ascii="Gothic720 BT" w:hAnsi="Gothic720 BT"/>
        </w:rPr>
        <w:t>, aunado a que</w:t>
      </w:r>
      <w:r w:rsidRPr="00BC2278">
        <w:rPr>
          <w:rFonts w:ascii="Gothic720 BT" w:hAnsi="Gothic720 BT"/>
        </w:rPr>
        <w:t xml:space="preserve"> </w:t>
      </w:r>
      <w:r w:rsidR="0025114D" w:rsidRPr="00BC2278">
        <w:rPr>
          <w:rFonts w:ascii="Gothic720 BT" w:hAnsi="Gothic720 BT"/>
        </w:rPr>
        <w:t xml:space="preserve">no debe implicar la </w:t>
      </w:r>
      <w:r w:rsidRPr="00BC2278">
        <w:rPr>
          <w:rFonts w:ascii="Gothic720 BT" w:hAnsi="Gothic720 BT"/>
        </w:rPr>
        <w:t>promoción personalizada de cualquier</w:t>
      </w:r>
      <w:r w:rsidR="00422535" w:rsidRPr="00BC2278">
        <w:rPr>
          <w:rFonts w:ascii="Gothic720 BT" w:hAnsi="Gothic720 BT"/>
        </w:rPr>
        <w:t xml:space="preserve"> persona en el servicio público</w:t>
      </w:r>
      <w:r w:rsidRPr="00BC2278">
        <w:rPr>
          <w:rFonts w:ascii="Gothic720 BT" w:hAnsi="Gothic720 BT"/>
        </w:rPr>
        <w:t xml:space="preserve">. </w:t>
      </w:r>
    </w:p>
    <w:p w14:paraId="172F576A" w14:textId="2194A11B" w:rsidR="00D40160" w:rsidRPr="00BC2278" w:rsidRDefault="00D40160" w:rsidP="00D40160">
      <w:pPr>
        <w:spacing w:line="276" w:lineRule="auto"/>
        <w:jc w:val="both"/>
        <w:rPr>
          <w:rFonts w:ascii="Gothic720 BT" w:hAnsi="Gothic720 BT"/>
        </w:rPr>
      </w:pPr>
      <w:r w:rsidRPr="00BC2278">
        <w:rPr>
          <w:rFonts w:ascii="Gothic720 BT" w:hAnsi="Gothic720 BT"/>
        </w:rPr>
        <w:t>As</w:t>
      </w:r>
      <w:r w:rsidR="00380338" w:rsidRPr="00BC2278">
        <w:rPr>
          <w:rFonts w:ascii="Gothic720 BT" w:hAnsi="Gothic720 BT"/>
        </w:rPr>
        <w:t xml:space="preserve">imismo, </w:t>
      </w:r>
      <w:r w:rsidR="00126400" w:rsidRPr="00BC2278">
        <w:rPr>
          <w:rFonts w:ascii="Gothic720 BT" w:hAnsi="Gothic720 BT"/>
        </w:rPr>
        <w:t xml:space="preserve">su emisión se realiza </w:t>
      </w:r>
      <w:r w:rsidR="00380338" w:rsidRPr="00BC2278">
        <w:rPr>
          <w:rFonts w:ascii="Gothic720 BT" w:hAnsi="Gothic720 BT"/>
        </w:rPr>
        <w:t xml:space="preserve">en términos de </w:t>
      </w:r>
      <w:r w:rsidRPr="00BC2278">
        <w:rPr>
          <w:rFonts w:ascii="Gothic720 BT" w:hAnsi="Gothic720 BT"/>
        </w:rPr>
        <w:t xml:space="preserve">lo previsto en los artículos 18 Ter y Quater de la Ley General de Comunicación Social, </w:t>
      </w:r>
      <w:r w:rsidR="00126400" w:rsidRPr="00BC2278">
        <w:rPr>
          <w:rFonts w:ascii="Gothic720 BT" w:hAnsi="Gothic720 BT"/>
        </w:rPr>
        <w:t>reformada</w:t>
      </w:r>
      <w:r w:rsidRPr="00BC2278">
        <w:rPr>
          <w:rFonts w:ascii="Gothic720 BT" w:hAnsi="Gothic720 BT"/>
        </w:rPr>
        <w:t xml:space="preserve"> por el </w:t>
      </w:r>
      <w:r w:rsidR="00126400" w:rsidRPr="00BC2278">
        <w:rPr>
          <w:rFonts w:ascii="Gothic720 BT" w:hAnsi="Gothic720 BT"/>
        </w:rPr>
        <w:t>D</w:t>
      </w:r>
      <w:r w:rsidRPr="00BC2278">
        <w:rPr>
          <w:rFonts w:ascii="Gothic720 BT" w:hAnsi="Gothic720 BT"/>
        </w:rPr>
        <w:t xml:space="preserve">ecreto publicado el veintisiete de diciembre de dos mil veintidós en el Diario Oficial de la Federación, </w:t>
      </w:r>
      <w:r w:rsidR="00380338" w:rsidRPr="00BC2278">
        <w:rPr>
          <w:rFonts w:ascii="Gothic720 BT" w:hAnsi="Gothic720 BT"/>
        </w:rPr>
        <w:t>la cual vinculó</w:t>
      </w:r>
      <w:r w:rsidRPr="00BC2278">
        <w:rPr>
          <w:rFonts w:ascii="Gothic720 BT" w:hAnsi="Gothic720 BT"/>
        </w:rPr>
        <w:t xml:space="preserve"> a este Instituto </w:t>
      </w:r>
      <w:r w:rsidR="00380338" w:rsidRPr="00BC2278">
        <w:rPr>
          <w:rFonts w:ascii="Gothic720 BT" w:hAnsi="Gothic720 BT"/>
        </w:rPr>
        <w:t>para</w:t>
      </w:r>
      <w:r w:rsidRPr="00BC2278">
        <w:rPr>
          <w:rFonts w:ascii="Gothic720 BT" w:hAnsi="Gothic720 BT"/>
        </w:rPr>
        <w:t xml:space="preserve"> emitir los lineamientos relativos a la realización de estudios </w:t>
      </w:r>
      <w:r w:rsidR="00D02373" w:rsidRPr="00BC2278">
        <w:rPr>
          <w:rFonts w:ascii="Gothic720 BT" w:hAnsi="Gothic720 BT"/>
        </w:rPr>
        <w:t>de</w:t>
      </w:r>
      <w:r w:rsidR="00422535" w:rsidRPr="00BC2278">
        <w:rPr>
          <w:rFonts w:ascii="Gothic720 BT" w:hAnsi="Gothic720 BT"/>
        </w:rPr>
        <w:t xml:space="preserve"> pertinencia </w:t>
      </w:r>
      <w:r w:rsidRPr="00BC2278">
        <w:rPr>
          <w:rFonts w:ascii="Gothic720 BT" w:hAnsi="Gothic720 BT"/>
        </w:rPr>
        <w:t xml:space="preserve">para el análisis de los mensajes contenidos en las </w:t>
      </w:r>
      <w:r w:rsidR="00327EB1" w:rsidRPr="00BC2278">
        <w:rPr>
          <w:rFonts w:ascii="Gothic720 BT" w:hAnsi="Gothic720 BT"/>
        </w:rPr>
        <w:t>C</w:t>
      </w:r>
      <w:r w:rsidRPr="00BC2278">
        <w:rPr>
          <w:rFonts w:ascii="Gothic720 BT" w:hAnsi="Gothic720 BT"/>
        </w:rPr>
        <w:t xml:space="preserve">ampañas de </w:t>
      </w:r>
      <w:r w:rsidR="00327EB1" w:rsidRPr="00BC2278">
        <w:rPr>
          <w:rFonts w:ascii="Gothic720 BT" w:hAnsi="Gothic720 BT"/>
        </w:rPr>
        <w:t>C</w:t>
      </w:r>
      <w:r w:rsidRPr="00BC2278">
        <w:rPr>
          <w:rFonts w:ascii="Gothic720 BT" w:hAnsi="Gothic720 BT"/>
        </w:rPr>
        <w:t xml:space="preserve">omunicación </w:t>
      </w:r>
      <w:r w:rsidR="00327EB1" w:rsidRPr="00BC2278">
        <w:rPr>
          <w:rFonts w:ascii="Gothic720 BT" w:hAnsi="Gothic720 BT"/>
        </w:rPr>
        <w:t>S</w:t>
      </w:r>
      <w:r w:rsidRPr="00BC2278">
        <w:rPr>
          <w:rFonts w:ascii="Gothic720 BT" w:hAnsi="Gothic720 BT"/>
        </w:rPr>
        <w:t>ocial</w:t>
      </w:r>
      <w:r w:rsidR="00327EB1" w:rsidRPr="00BC2278">
        <w:rPr>
          <w:rFonts w:ascii="Gothic720 BT" w:hAnsi="Gothic720 BT"/>
        </w:rPr>
        <w:t xml:space="preserve"> del Instituto Electoral del Estado de Querétaro</w:t>
      </w:r>
      <w:r w:rsidRPr="00BC2278">
        <w:rPr>
          <w:rFonts w:ascii="Gothic720 BT" w:hAnsi="Gothic720 BT"/>
        </w:rPr>
        <w:t xml:space="preserve">, así como estudios </w:t>
      </w:r>
      <w:r w:rsidR="00D02373" w:rsidRPr="00BC2278">
        <w:rPr>
          <w:rFonts w:ascii="Gothic720 BT" w:hAnsi="Gothic720 BT"/>
        </w:rPr>
        <w:t xml:space="preserve">de pertinencia </w:t>
      </w:r>
      <w:r w:rsidRPr="00BC2278">
        <w:rPr>
          <w:rFonts w:ascii="Gothic720 BT" w:hAnsi="Gothic720 BT"/>
        </w:rPr>
        <w:t>que midan el grado de cumplimiento de las metas</w:t>
      </w:r>
      <w:r w:rsidR="00D02373" w:rsidRPr="00BC2278">
        <w:rPr>
          <w:rFonts w:ascii="Gothic720 BT" w:hAnsi="Gothic720 BT"/>
        </w:rPr>
        <w:t xml:space="preserve">, </w:t>
      </w:r>
      <w:r w:rsidRPr="00BC2278">
        <w:rPr>
          <w:rFonts w:ascii="Gothic720 BT" w:hAnsi="Gothic720 BT"/>
        </w:rPr>
        <w:t>objetivos de la información difundida y el impacto en la población objetivo por medio de evaluaciones para valorar su efectividad.</w:t>
      </w:r>
    </w:p>
    <w:p w14:paraId="20D2EA43" w14:textId="2A574A86" w:rsidR="005E332C" w:rsidRPr="00BC2278" w:rsidRDefault="00D40160" w:rsidP="00D40160">
      <w:pPr>
        <w:spacing w:line="276" w:lineRule="auto"/>
        <w:jc w:val="both"/>
        <w:rPr>
          <w:rFonts w:ascii="Gothic720 BT" w:hAnsi="Gothic720 BT"/>
        </w:rPr>
      </w:pPr>
      <w:r w:rsidRPr="00BC2278">
        <w:rPr>
          <w:rFonts w:ascii="Gothic720 BT" w:hAnsi="Gothic720 BT"/>
        </w:rPr>
        <w:t>Por lo anterior</w:t>
      </w:r>
      <w:r w:rsidR="00422535" w:rsidRPr="00BC2278">
        <w:rPr>
          <w:rFonts w:ascii="Gothic720 BT" w:hAnsi="Gothic720 BT"/>
        </w:rPr>
        <w:t>,</w:t>
      </w:r>
      <w:r w:rsidRPr="00BC2278">
        <w:rPr>
          <w:rFonts w:ascii="Gothic720 BT" w:hAnsi="Gothic720 BT"/>
        </w:rPr>
        <w:t xml:space="preserve"> estos Lineamientos integran criterios generales para la emisión de</w:t>
      </w:r>
      <w:r w:rsidR="00D02373" w:rsidRPr="00BC2278">
        <w:rPr>
          <w:rFonts w:ascii="Gothic720 BT" w:hAnsi="Gothic720 BT"/>
        </w:rPr>
        <w:t xml:space="preserve"> los estudios de pertinencia y efectividad</w:t>
      </w:r>
      <w:r w:rsidRPr="00BC2278">
        <w:rPr>
          <w:rFonts w:ascii="Gothic720 BT" w:hAnsi="Gothic720 BT"/>
        </w:rPr>
        <w:t>, bajo los principios de certeza, legalidad, independencia, imparcialidad,</w:t>
      </w:r>
      <w:r w:rsidR="005E332C" w:rsidRPr="00BC2278">
        <w:rPr>
          <w:rFonts w:ascii="Gothic720 BT" w:hAnsi="Gothic720 BT"/>
        </w:rPr>
        <w:t xml:space="preserve"> eficacia, eficiencia, transparencia,</w:t>
      </w:r>
      <w:r w:rsidRPr="00BC2278">
        <w:rPr>
          <w:rFonts w:ascii="Gothic720 BT" w:hAnsi="Gothic720 BT"/>
        </w:rPr>
        <w:t xml:space="preserve"> máxima publicidad</w:t>
      </w:r>
      <w:r w:rsidR="005E332C" w:rsidRPr="00BC2278">
        <w:rPr>
          <w:rFonts w:ascii="Gothic720 BT" w:hAnsi="Gothic720 BT"/>
        </w:rPr>
        <w:t>,</w:t>
      </w:r>
      <w:r w:rsidRPr="00BC2278">
        <w:rPr>
          <w:rFonts w:ascii="Gothic720 BT" w:hAnsi="Gothic720 BT"/>
        </w:rPr>
        <w:t xml:space="preserve"> objetividad</w:t>
      </w:r>
      <w:r w:rsidR="005E332C" w:rsidRPr="00BC2278">
        <w:rPr>
          <w:rFonts w:ascii="Gothic720 BT" w:hAnsi="Gothic720 BT"/>
        </w:rPr>
        <w:t xml:space="preserve">, imparcialidad, honradez, institucionalidad, necesidad, congruencia, veracidad de la información e interculturalidad, previstos en la normatividad de la materia electoral y en la Ley General de Comunicación Social. </w:t>
      </w:r>
    </w:p>
    <w:p w14:paraId="43A8BEC1" w14:textId="4E2FB807" w:rsidR="00D40160" w:rsidRPr="00BC2278" w:rsidRDefault="00D669B8" w:rsidP="00D40160">
      <w:pPr>
        <w:spacing w:line="276" w:lineRule="auto"/>
        <w:jc w:val="both"/>
        <w:rPr>
          <w:rFonts w:ascii="Gothic720 BT" w:hAnsi="Gothic720 BT"/>
        </w:rPr>
      </w:pPr>
      <w:r w:rsidRPr="00BC2278">
        <w:rPr>
          <w:rFonts w:ascii="Gothic720 BT" w:hAnsi="Gothic720 BT"/>
        </w:rPr>
        <w:t>En ese sentido</w:t>
      </w:r>
      <w:r w:rsidR="00D40160" w:rsidRPr="00BC2278">
        <w:rPr>
          <w:rFonts w:ascii="Gothic720 BT" w:hAnsi="Gothic720 BT"/>
        </w:rPr>
        <w:t>, se componen de tres títulos, el Titulo Primero contiene</w:t>
      </w:r>
      <w:r w:rsidR="009C7068" w:rsidRPr="00BC2278">
        <w:rPr>
          <w:rFonts w:ascii="Gothic720 BT" w:hAnsi="Gothic720 BT"/>
        </w:rPr>
        <w:t xml:space="preserve"> </w:t>
      </w:r>
      <w:r w:rsidR="00422535" w:rsidRPr="00BC2278">
        <w:rPr>
          <w:rFonts w:ascii="Gothic720 BT" w:hAnsi="Gothic720 BT"/>
        </w:rPr>
        <w:t xml:space="preserve">un capítulo único que señala </w:t>
      </w:r>
      <w:r w:rsidR="00D40160" w:rsidRPr="00BC2278">
        <w:rPr>
          <w:rFonts w:ascii="Gothic720 BT" w:hAnsi="Gothic720 BT"/>
        </w:rPr>
        <w:t xml:space="preserve">disposiciones generales tales como su objeto, aplicación e interpretación, un glosario </w:t>
      </w:r>
      <w:r w:rsidRPr="00BC2278">
        <w:rPr>
          <w:rFonts w:ascii="Gothic720 BT" w:hAnsi="Gothic720 BT"/>
        </w:rPr>
        <w:t>de conceptos</w:t>
      </w:r>
      <w:r w:rsidR="00D40160" w:rsidRPr="00BC2278">
        <w:rPr>
          <w:rFonts w:ascii="Gothic720 BT" w:hAnsi="Gothic720 BT"/>
        </w:rPr>
        <w:t xml:space="preserve">; el Titulo Segundo es el relativo a los estudios de pertinencia </w:t>
      </w:r>
      <w:r w:rsidR="00350AF7" w:rsidRPr="00BC2278">
        <w:rPr>
          <w:rFonts w:ascii="Gothic720 BT" w:hAnsi="Gothic720 BT"/>
        </w:rPr>
        <w:t>y</w:t>
      </w:r>
      <w:r w:rsidR="00D40160" w:rsidRPr="00BC2278">
        <w:rPr>
          <w:rFonts w:ascii="Gothic720 BT" w:hAnsi="Gothic720 BT"/>
        </w:rPr>
        <w:t xml:space="preserve"> efectividad de las Campañas de Comunicación Social del Instituto en el </w:t>
      </w:r>
      <w:r w:rsidR="00422535" w:rsidRPr="00BC2278">
        <w:rPr>
          <w:rFonts w:ascii="Gothic720 BT" w:hAnsi="Gothic720 BT"/>
        </w:rPr>
        <w:t>que a través de dos capítulos</w:t>
      </w:r>
      <w:r w:rsidR="00D40160" w:rsidRPr="00BC2278">
        <w:rPr>
          <w:rFonts w:ascii="Gothic720 BT" w:hAnsi="Gothic720 BT"/>
        </w:rPr>
        <w:t xml:space="preserve"> se detalla el objetivo de </w:t>
      </w:r>
      <w:r w:rsidR="00C67CBE" w:rsidRPr="00BC2278">
        <w:rPr>
          <w:rFonts w:ascii="Gothic720 BT" w:hAnsi="Gothic720 BT"/>
        </w:rPr>
        <w:t>dichos</w:t>
      </w:r>
      <w:r w:rsidR="00D40160" w:rsidRPr="00BC2278">
        <w:rPr>
          <w:rFonts w:ascii="Gothic720 BT" w:hAnsi="Gothic720 BT"/>
        </w:rPr>
        <w:t xml:space="preserve"> estudios</w:t>
      </w:r>
      <w:r w:rsidR="00C67CBE" w:rsidRPr="00BC2278">
        <w:rPr>
          <w:rFonts w:ascii="Gothic720 BT" w:hAnsi="Gothic720 BT"/>
        </w:rPr>
        <w:t xml:space="preserve"> y sus elementos</w:t>
      </w:r>
      <w:r w:rsidR="000575E1" w:rsidRPr="00BC2278">
        <w:rPr>
          <w:rFonts w:ascii="Gothic720 BT" w:hAnsi="Gothic720 BT"/>
        </w:rPr>
        <w:t>;</w:t>
      </w:r>
      <w:r w:rsidR="00C67CBE" w:rsidRPr="00BC2278">
        <w:rPr>
          <w:rFonts w:ascii="Gothic720 BT" w:hAnsi="Gothic720 BT"/>
        </w:rPr>
        <w:t xml:space="preserve"> </w:t>
      </w:r>
      <w:r w:rsidR="00D40160" w:rsidRPr="00BC2278">
        <w:rPr>
          <w:rFonts w:ascii="Gothic720 BT" w:hAnsi="Gothic720 BT"/>
        </w:rPr>
        <w:t>por último</w:t>
      </w:r>
      <w:r w:rsidR="000575E1" w:rsidRPr="00BC2278">
        <w:rPr>
          <w:rFonts w:ascii="Gothic720 BT" w:hAnsi="Gothic720 BT"/>
        </w:rPr>
        <w:t xml:space="preserve">, en el </w:t>
      </w:r>
      <w:r w:rsidR="00D40160" w:rsidRPr="00BC2278">
        <w:rPr>
          <w:rFonts w:ascii="Gothic720 BT" w:hAnsi="Gothic720 BT"/>
        </w:rPr>
        <w:t>Título Tercero</w:t>
      </w:r>
      <w:r w:rsidR="00172CC7" w:rsidRPr="00BC2278">
        <w:rPr>
          <w:rFonts w:ascii="Gothic720 BT" w:hAnsi="Gothic720 BT"/>
        </w:rPr>
        <w:t xml:space="preserve"> a través de </w:t>
      </w:r>
      <w:r w:rsidR="00EC631F" w:rsidRPr="00BC2278">
        <w:rPr>
          <w:rFonts w:ascii="Gothic720 BT" w:hAnsi="Gothic720 BT"/>
        </w:rPr>
        <w:t>dos capítulos</w:t>
      </w:r>
      <w:r w:rsidR="00D40160" w:rsidRPr="00BC2278">
        <w:rPr>
          <w:rFonts w:ascii="Gothic720 BT" w:hAnsi="Gothic720 BT"/>
        </w:rPr>
        <w:t xml:space="preserve"> </w:t>
      </w:r>
      <w:r w:rsidR="000575E1" w:rsidRPr="00BC2278">
        <w:rPr>
          <w:rFonts w:ascii="Gothic720 BT" w:hAnsi="Gothic720 BT"/>
        </w:rPr>
        <w:t>se prevén di</w:t>
      </w:r>
      <w:r w:rsidR="00D40160" w:rsidRPr="00BC2278">
        <w:rPr>
          <w:rFonts w:ascii="Gothic720 BT" w:hAnsi="Gothic720 BT"/>
        </w:rPr>
        <w:t>sposiciones comunes a los estudios de pertinencia y efectividad</w:t>
      </w:r>
      <w:r w:rsidR="009B1E71" w:rsidRPr="00BC2278">
        <w:rPr>
          <w:rFonts w:ascii="Gothic720 BT" w:hAnsi="Gothic720 BT"/>
        </w:rPr>
        <w:t xml:space="preserve">, </w:t>
      </w:r>
      <w:r w:rsidR="00D40160" w:rsidRPr="00BC2278">
        <w:rPr>
          <w:rFonts w:ascii="Gothic720 BT" w:hAnsi="Gothic720 BT"/>
        </w:rPr>
        <w:t>lo relativo a la selección de proveedores</w:t>
      </w:r>
      <w:r w:rsidR="00EC631F" w:rsidRPr="00BC2278">
        <w:rPr>
          <w:rFonts w:ascii="Gothic720 BT" w:hAnsi="Gothic720 BT"/>
        </w:rPr>
        <w:t xml:space="preserve">, así como los casos en que procede la cancelación de los estudios. </w:t>
      </w:r>
    </w:p>
    <w:p w14:paraId="7AA4F617" w14:textId="2C726F53" w:rsidR="009E5D68" w:rsidRPr="00BC2278" w:rsidRDefault="00D40160" w:rsidP="00D40160">
      <w:pPr>
        <w:spacing w:line="276" w:lineRule="auto"/>
        <w:jc w:val="both"/>
        <w:rPr>
          <w:rFonts w:ascii="Gothic720 BT" w:hAnsi="Gothic720 BT"/>
        </w:rPr>
      </w:pPr>
      <w:r w:rsidRPr="00BC2278">
        <w:rPr>
          <w:rFonts w:ascii="Gothic720 BT" w:hAnsi="Gothic720 BT"/>
        </w:rPr>
        <w:t>Finalmente</w:t>
      </w:r>
      <w:r w:rsidR="00D556B9" w:rsidRPr="00BC2278">
        <w:rPr>
          <w:rFonts w:ascii="Gothic720 BT" w:hAnsi="Gothic720 BT"/>
        </w:rPr>
        <w:t xml:space="preserve">, los </w:t>
      </w:r>
      <w:r w:rsidR="00172CC7" w:rsidRPr="00BC2278">
        <w:rPr>
          <w:rFonts w:ascii="Gothic720 BT" w:hAnsi="Gothic720 BT"/>
        </w:rPr>
        <w:t xml:space="preserve">mismos </w:t>
      </w:r>
      <w:r w:rsidR="00D556B9" w:rsidRPr="00BC2278">
        <w:rPr>
          <w:rFonts w:ascii="Gothic720 BT" w:hAnsi="Gothic720 BT"/>
        </w:rPr>
        <w:t xml:space="preserve">contienen </w:t>
      </w:r>
      <w:r w:rsidRPr="00BC2278">
        <w:rPr>
          <w:rFonts w:ascii="Gothic720 BT" w:hAnsi="Gothic720 BT"/>
        </w:rPr>
        <w:t xml:space="preserve">dos artículos transitorios correspondientes a su entrada en vigor y su publicación en el Periódico Oficial del Gobierno del Estado de Querétaro “La Sombra de Arteaga” </w:t>
      </w:r>
      <w:r w:rsidR="00172CC7" w:rsidRPr="00BC2278">
        <w:rPr>
          <w:rFonts w:ascii="Gothic720 BT" w:hAnsi="Gothic720 BT"/>
        </w:rPr>
        <w:t>así como</w:t>
      </w:r>
      <w:r w:rsidRPr="00BC2278">
        <w:rPr>
          <w:rFonts w:ascii="Gothic720 BT" w:hAnsi="Gothic720 BT"/>
        </w:rPr>
        <w:t xml:space="preserve"> en el sitio de </w:t>
      </w:r>
      <w:r w:rsidR="00422535" w:rsidRPr="00BC2278">
        <w:rPr>
          <w:rFonts w:ascii="Gothic720 BT" w:hAnsi="Gothic720 BT"/>
        </w:rPr>
        <w:t>I</w:t>
      </w:r>
      <w:r w:rsidRPr="00BC2278">
        <w:rPr>
          <w:rFonts w:ascii="Gothic720 BT" w:hAnsi="Gothic720 BT"/>
        </w:rPr>
        <w:t>nternet del Instituto</w:t>
      </w:r>
      <w:r w:rsidR="000C485A" w:rsidRPr="00BC2278">
        <w:rPr>
          <w:rFonts w:ascii="Gothic720 BT" w:hAnsi="Gothic720 BT"/>
        </w:rPr>
        <w:t>, respectivamente.</w:t>
      </w:r>
    </w:p>
    <w:p w14:paraId="0F907ACD" w14:textId="77777777" w:rsidR="005F07DD" w:rsidRPr="00BC2278" w:rsidRDefault="005F07DD" w:rsidP="005F07DD">
      <w:pPr>
        <w:spacing w:line="276" w:lineRule="auto"/>
        <w:jc w:val="both"/>
        <w:rPr>
          <w:rFonts w:ascii="Gothic720 BT" w:hAnsi="Gothic720 BT"/>
        </w:rPr>
      </w:pPr>
    </w:p>
    <w:p w14:paraId="7FCC4375" w14:textId="38170CC0" w:rsidR="00660884" w:rsidRPr="00BC2278" w:rsidRDefault="00660884" w:rsidP="00692572">
      <w:pPr>
        <w:pStyle w:val="Ttulo1"/>
        <w:spacing w:before="0"/>
        <w:jc w:val="center"/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</w:pPr>
      <w:bookmarkStart w:id="3" w:name="_Toc132727305"/>
      <w:r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lastRenderedPageBreak/>
        <w:t>T</w:t>
      </w:r>
      <w:r w:rsidR="006D7CFE"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>í</w:t>
      </w:r>
      <w:r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>tulo Primero</w:t>
      </w:r>
      <w:bookmarkEnd w:id="3"/>
    </w:p>
    <w:p w14:paraId="054040C9" w14:textId="4B8F2A67" w:rsidR="00692572" w:rsidRPr="00BC2278" w:rsidRDefault="00660884" w:rsidP="00692572">
      <w:pPr>
        <w:pStyle w:val="Ttulo1"/>
        <w:spacing w:before="0"/>
        <w:jc w:val="center"/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</w:pPr>
      <w:bookmarkStart w:id="4" w:name="_Toc132727306"/>
      <w:r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 xml:space="preserve">Disposiciones </w:t>
      </w:r>
      <w:r w:rsidR="00422535"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>aplicables</w:t>
      </w:r>
      <w:bookmarkEnd w:id="4"/>
    </w:p>
    <w:p w14:paraId="2AE4E22D" w14:textId="77777777" w:rsidR="00692572" w:rsidRPr="00BC2278" w:rsidRDefault="00692572" w:rsidP="00692572"/>
    <w:p w14:paraId="520175D3" w14:textId="378141C4" w:rsidR="00160686" w:rsidRPr="00BC2278" w:rsidRDefault="00160686" w:rsidP="00692572">
      <w:pPr>
        <w:pStyle w:val="Ttulo2"/>
        <w:jc w:val="center"/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</w:pPr>
      <w:bookmarkStart w:id="5" w:name="_Toc132727307"/>
      <w:r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>Cap</w:t>
      </w:r>
      <w:r w:rsidR="006D7CFE"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>í</w:t>
      </w:r>
      <w:r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 xml:space="preserve">tulo </w:t>
      </w:r>
      <w:r w:rsidR="006D7CFE"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>ú</w:t>
      </w:r>
      <w:r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>nico</w:t>
      </w:r>
      <w:bookmarkEnd w:id="5"/>
    </w:p>
    <w:p w14:paraId="3C1F9F26" w14:textId="4B22CDBD" w:rsidR="00160686" w:rsidRPr="00BC2278" w:rsidRDefault="00E66B87" w:rsidP="00692572">
      <w:pPr>
        <w:pStyle w:val="Ttulo2"/>
        <w:jc w:val="center"/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</w:pPr>
      <w:bookmarkStart w:id="6" w:name="_Toc132727308"/>
      <w:r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>Generalidades</w:t>
      </w:r>
      <w:bookmarkEnd w:id="6"/>
    </w:p>
    <w:p w14:paraId="20462DA1" w14:textId="77777777" w:rsidR="00692572" w:rsidRPr="00BC2278" w:rsidRDefault="00692572" w:rsidP="00692572"/>
    <w:p w14:paraId="5F862920" w14:textId="0A5551D0" w:rsidR="00172CC7" w:rsidRPr="00BC2278" w:rsidRDefault="00660884" w:rsidP="00660884">
      <w:pPr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>Artículo 1.</w:t>
      </w:r>
      <w:r w:rsidRPr="00BC2278">
        <w:rPr>
          <w:rFonts w:ascii="Gothic720 BT" w:hAnsi="Gothic720 BT"/>
        </w:rPr>
        <w:t xml:space="preserve"> </w:t>
      </w:r>
      <w:r w:rsidR="00172CC7" w:rsidRPr="00BC2278">
        <w:rPr>
          <w:rFonts w:ascii="Gothic720 BT" w:hAnsi="Gothic720 BT"/>
        </w:rPr>
        <w:t>Los presentes Lineamientos son de observancia general y obligatoria y tienen por objeto establecer las bases y criterios para la realización</w:t>
      </w:r>
      <w:r w:rsidR="00E31000" w:rsidRPr="00BC2278">
        <w:rPr>
          <w:rFonts w:ascii="Gothic720 BT" w:hAnsi="Gothic720 BT"/>
        </w:rPr>
        <w:t xml:space="preserve"> </w:t>
      </w:r>
      <w:r w:rsidR="00172CC7" w:rsidRPr="00BC2278">
        <w:rPr>
          <w:rFonts w:ascii="Gothic720 BT" w:hAnsi="Gothic720 BT"/>
        </w:rPr>
        <w:t xml:space="preserve">de estudios de pertinencia y efectividad de las Campañas de Comunicación Social que sean diseñadas y ejecutadas por el Instituto Electoral del Estado de Querétaro. </w:t>
      </w:r>
    </w:p>
    <w:p w14:paraId="6B29DB85" w14:textId="38AEF87E" w:rsidR="000F512F" w:rsidRPr="00BC2278" w:rsidRDefault="000F512F" w:rsidP="000F512F">
      <w:pPr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 xml:space="preserve">Artículo </w:t>
      </w:r>
      <w:r w:rsidR="006C6C61" w:rsidRPr="00BC2278">
        <w:rPr>
          <w:rFonts w:ascii="Gothic720 BT" w:hAnsi="Gothic720 BT"/>
          <w:b/>
          <w:bCs/>
        </w:rPr>
        <w:t>2</w:t>
      </w:r>
      <w:r w:rsidRPr="00BC2278">
        <w:rPr>
          <w:rFonts w:ascii="Gothic720 BT" w:hAnsi="Gothic720 BT"/>
          <w:b/>
          <w:bCs/>
        </w:rPr>
        <w:t>.</w:t>
      </w:r>
      <w:r w:rsidRPr="00BC2278">
        <w:rPr>
          <w:rFonts w:ascii="Gothic720 BT" w:hAnsi="Gothic720 BT"/>
        </w:rPr>
        <w:t xml:space="preserve"> </w:t>
      </w:r>
      <w:r w:rsidR="0041184D" w:rsidRPr="00BC2278">
        <w:rPr>
          <w:rFonts w:ascii="Gothic720 BT" w:hAnsi="Gothic720 BT"/>
        </w:rPr>
        <w:t>La interpretación de los presentes Lineamientos se realizará</w:t>
      </w:r>
      <w:r w:rsidRPr="00BC2278">
        <w:rPr>
          <w:rFonts w:ascii="Gothic720 BT" w:hAnsi="Gothic720 BT"/>
        </w:rPr>
        <w:t xml:space="preserve"> de conformidad con la Constitución Política de los Estados Unidos Mexicanos, </w:t>
      </w:r>
      <w:r w:rsidR="00172CC7" w:rsidRPr="00BC2278">
        <w:rPr>
          <w:rFonts w:ascii="Gothic720 BT" w:hAnsi="Gothic720 BT"/>
        </w:rPr>
        <w:t xml:space="preserve">la Ley General de Comunicación Social, </w:t>
      </w:r>
      <w:r w:rsidRPr="00BC2278">
        <w:rPr>
          <w:rFonts w:ascii="Gothic720 BT" w:hAnsi="Gothic720 BT"/>
        </w:rPr>
        <w:t>los instrumentos internacionales en la materia, la Constitución Política del Estado Libre y Soberano de Querétaro, así como la jurisprudencia y la demás normatividad</w:t>
      </w:r>
      <w:r w:rsidR="00181EF3" w:rsidRPr="00BC2278">
        <w:rPr>
          <w:rFonts w:ascii="Gothic720 BT" w:hAnsi="Gothic720 BT"/>
        </w:rPr>
        <w:t xml:space="preserve"> aplicable</w:t>
      </w:r>
      <w:r w:rsidRPr="00BC2278">
        <w:rPr>
          <w:rFonts w:ascii="Gothic720 BT" w:hAnsi="Gothic720 BT"/>
        </w:rPr>
        <w:t>, con base en los criterios gramatical, sistemático y funcional.</w:t>
      </w:r>
    </w:p>
    <w:p w14:paraId="7A531FED" w14:textId="5F763BC5" w:rsidR="000F512F" w:rsidRPr="00BC2278" w:rsidRDefault="000F512F" w:rsidP="000F512F">
      <w:pPr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 xml:space="preserve">Artículo </w:t>
      </w:r>
      <w:r w:rsidR="006C6C61" w:rsidRPr="00BC2278">
        <w:rPr>
          <w:rFonts w:ascii="Gothic720 BT" w:hAnsi="Gothic720 BT"/>
          <w:b/>
          <w:bCs/>
        </w:rPr>
        <w:t>3</w:t>
      </w:r>
      <w:r w:rsidRPr="00BC2278">
        <w:rPr>
          <w:rFonts w:ascii="Gothic720 BT" w:hAnsi="Gothic720 BT"/>
        </w:rPr>
        <w:t>. Para efectos de estos Lineamientos se entenderá:</w:t>
      </w:r>
    </w:p>
    <w:p w14:paraId="7C006033" w14:textId="7D7B4841" w:rsidR="000F512F" w:rsidRPr="00BC2278" w:rsidRDefault="000F512F" w:rsidP="000F512F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Gothic720 BT" w:hAnsi="Gothic720 BT"/>
        </w:rPr>
      </w:pPr>
      <w:r w:rsidRPr="00BC2278">
        <w:rPr>
          <w:rFonts w:ascii="Gothic720 BT" w:hAnsi="Gothic720 BT"/>
        </w:rPr>
        <w:t xml:space="preserve">Con relación a disposiciones normativas. </w:t>
      </w:r>
    </w:p>
    <w:p w14:paraId="7D8FE4C3" w14:textId="77777777" w:rsidR="00521571" w:rsidRPr="00BC2278" w:rsidRDefault="00521571" w:rsidP="00521571">
      <w:pPr>
        <w:pStyle w:val="Prrafodelista"/>
        <w:tabs>
          <w:tab w:val="left" w:pos="284"/>
        </w:tabs>
        <w:ind w:left="0"/>
        <w:jc w:val="both"/>
        <w:rPr>
          <w:rFonts w:ascii="Gothic720 BT" w:hAnsi="Gothic720 BT"/>
        </w:rPr>
      </w:pPr>
    </w:p>
    <w:p w14:paraId="664FC4E5" w14:textId="176E7229" w:rsidR="00521571" w:rsidRPr="00BC2278" w:rsidRDefault="00521571" w:rsidP="001B15A2">
      <w:pPr>
        <w:pStyle w:val="Prrafodelista"/>
        <w:numPr>
          <w:ilvl w:val="0"/>
          <w:numId w:val="2"/>
        </w:numPr>
        <w:tabs>
          <w:tab w:val="left" w:pos="284"/>
          <w:tab w:val="left" w:pos="426"/>
        </w:tabs>
        <w:ind w:left="142" w:firstLine="0"/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>Constitución Federal:</w:t>
      </w:r>
      <w:r w:rsidRPr="00BC2278">
        <w:rPr>
          <w:rFonts w:ascii="Gothic720 BT" w:hAnsi="Gothic720 BT"/>
        </w:rPr>
        <w:t xml:space="preserve"> Constitución Política de los Estados Unidos Mexicanos. </w:t>
      </w:r>
    </w:p>
    <w:p w14:paraId="031E4213" w14:textId="77777777" w:rsidR="00521571" w:rsidRPr="00BC2278" w:rsidRDefault="00521571" w:rsidP="001B15A2">
      <w:pPr>
        <w:pStyle w:val="Prrafodelista"/>
        <w:tabs>
          <w:tab w:val="left" w:pos="284"/>
          <w:tab w:val="left" w:pos="426"/>
        </w:tabs>
        <w:ind w:left="142"/>
        <w:jc w:val="both"/>
        <w:rPr>
          <w:rFonts w:ascii="Gothic720 BT" w:hAnsi="Gothic720 BT"/>
        </w:rPr>
      </w:pPr>
    </w:p>
    <w:p w14:paraId="4BBC4206" w14:textId="20F807CB" w:rsidR="00521571" w:rsidRPr="00BC2278" w:rsidRDefault="00521571" w:rsidP="001B15A2">
      <w:pPr>
        <w:pStyle w:val="Prrafodelista"/>
        <w:numPr>
          <w:ilvl w:val="0"/>
          <w:numId w:val="2"/>
        </w:numPr>
        <w:tabs>
          <w:tab w:val="left" w:pos="284"/>
          <w:tab w:val="left" w:pos="426"/>
        </w:tabs>
        <w:ind w:left="142" w:firstLine="0"/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>Ley Electoral:</w:t>
      </w:r>
      <w:r w:rsidRPr="00BC2278">
        <w:rPr>
          <w:rFonts w:ascii="Gothic720 BT" w:hAnsi="Gothic720 BT"/>
        </w:rPr>
        <w:t xml:space="preserve"> Ley Electoral del Estado de Querétaro.</w:t>
      </w:r>
    </w:p>
    <w:p w14:paraId="55438A3C" w14:textId="77777777" w:rsidR="00521571" w:rsidRPr="00BC2278" w:rsidRDefault="00521571" w:rsidP="001B15A2">
      <w:pPr>
        <w:pStyle w:val="Prrafodelista"/>
        <w:tabs>
          <w:tab w:val="left" w:pos="284"/>
          <w:tab w:val="left" w:pos="426"/>
        </w:tabs>
        <w:ind w:left="142"/>
        <w:jc w:val="both"/>
        <w:rPr>
          <w:rFonts w:ascii="Gothic720 BT" w:hAnsi="Gothic720 BT"/>
        </w:rPr>
      </w:pPr>
    </w:p>
    <w:p w14:paraId="676DA80E" w14:textId="3E235939" w:rsidR="00C75BB8" w:rsidRPr="00BC2278" w:rsidRDefault="000F512F" w:rsidP="001B15A2">
      <w:pPr>
        <w:pStyle w:val="Prrafodelista"/>
        <w:numPr>
          <w:ilvl w:val="0"/>
          <w:numId w:val="2"/>
        </w:numPr>
        <w:tabs>
          <w:tab w:val="left" w:pos="284"/>
          <w:tab w:val="left" w:pos="426"/>
        </w:tabs>
        <w:ind w:left="142" w:firstLine="0"/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>Ley General:</w:t>
      </w:r>
      <w:r w:rsidRPr="00BC2278">
        <w:rPr>
          <w:rFonts w:ascii="Gothic720 BT" w:hAnsi="Gothic720 BT"/>
        </w:rPr>
        <w:t xml:space="preserve"> Ley General de Comunicación Social. </w:t>
      </w:r>
    </w:p>
    <w:p w14:paraId="684360E2" w14:textId="77777777" w:rsidR="00FA31EB" w:rsidRPr="00BC2278" w:rsidRDefault="00FA31EB" w:rsidP="001B15A2">
      <w:pPr>
        <w:pStyle w:val="Prrafodelista"/>
        <w:tabs>
          <w:tab w:val="left" w:pos="426"/>
        </w:tabs>
        <w:ind w:left="142"/>
        <w:rPr>
          <w:rFonts w:ascii="Gothic720 BT" w:hAnsi="Gothic720 BT"/>
        </w:rPr>
      </w:pPr>
    </w:p>
    <w:p w14:paraId="6D22B9EB" w14:textId="3CD03E15" w:rsidR="00FA31EB" w:rsidRPr="00BC2278" w:rsidRDefault="00FA31EB" w:rsidP="001B15A2">
      <w:pPr>
        <w:pStyle w:val="Prrafodelista"/>
        <w:numPr>
          <w:ilvl w:val="0"/>
          <w:numId w:val="2"/>
        </w:numPr>
        <w:tabs>
          <w:tab w:val="left" w:pos="284"/>
          <w:tab w:val="left" w:pos="426"/>
        </w:tabs>
        <w:ind w:left="142" w:firstLine="0"/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>Ley General de Instituciones:</w:t>
      </w:r>
      <w:r w:rsidRPr="00BC2278">
        <w:rPr>
          <w:rFonts w:ascii="Gothic720 BT" w:hAnsi="Gothic720 BT"/>
        </w:rPr>
        <w:t xml:space="preserve"> Ley General de Instituciones y Procedimientos Electorales. </w:t>
      </w:r>
    </w:p>
    <w:p w14:paraId="3F00F7C9" w14:textId="77777777" w:rsidR="00C75BB8" w:rsidRPr="00BC2278" w:rsidRDefault="00C75BB8" w:rsidP="001B15A2">
      <w:pPr>
        <w:pStyle w:val="Prrafodelista"/>
        <w:tabs>
          <w:tab w:val="left" w:pos="284"/>
          <w:tab w:val="left" w:pos="426"/>
        </w:tabs>
        <w:ind w:left="142"/>
        <w:jc w:val="both"/>
        <w:rPr>
          <w:rFonts w:ascii="Gothic720 BT" w:hAnsi="Gothic720 BT"/>
        </w:rPr>
      </w:pPr>
    </w:p>
    <w:p w14:paraId="7C8D8AA4" w14:textId="50E78F3C" w:rsidR="00C75BB8" w:rsidRPr="00BC2278" w:rsidRDefault="000F512F" w:rsidP="001B15A2">
      <w:pPr>
        <w:pStyle w:val="Prrafodelista"/>
        <w:numPr>
          <w:ilvl w:val="0"/>
          <w:numId w:val="2"/>
        </w:numPr>
        <w:tabs>
          <w:tab w:val="left" w:pos="284"/>
          <w:tab w:val="left" w:pos="426"/>
        </w:tabs>
        <w:ind w:left="142" w:firstLine="0"/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>Lineamientos</w:t>
      </w:r>
      <w:r w:rsidRPr="00BC2278">
        <w:rPr>
          <w:rFonts w:ascii="Gothic720 BT" w:hAnsi="Gothic720 BT"/>
        </w:rPr>
        <w:t xml:space="preserve">: Lineamientos </w:t>
      </w:r>
      <w:r w:rsidR="00181EF3" w:rsidRPr="00BC2278">
        <w:rPr>
          <w:rFonts w:ascii="Gothic720 BT" w:hAnsi="Gothic720 BT"/>
        </w:rPr>
        <w:t xml:space="preserve">del Instituto Electoral del Estado de Querétaro </w:t>
      </w:r>
      <w:r w:rsidRPr="00BC2278">
        <w:rPr>
          <w:rFonts w:ascii="Gothic720 BT" w:hAnsi="Gothic720 BT"/>
        </w:rPr>
        <w:t xml:space="preserve">para la realización de estudios de pertinencia </w:t>
      </w:r>
      <w:r w:rsidR="00022226" w:rsidRPr="00BC2278">
        <w:rPr>
          <w:rFonts w:ascii="Gothic720 BT" w:hAnsi="Gothic720 BT"/>
        </w:rPr>
        <w:t>y</w:t>
      </w:r>
      <w:r w:rsidRPr="00BC2278">
        <w:rPr>
          <w:rFonts w:ascii="Gothic720 BT" w:hAnsi="Gothic720 BT"/>
        </w:rPr>
        <w:t xml:space="preserve"> efectividad de las Campañas de Comunicación Social. </w:t>
      </w:r>
    </w:p>
    <w:p w14:paraId="7DD9BECA" w14:textId="77777777" w:rsidR="00202187" w:rsidRPr="00BC2278" w:rsidRDefault="00202187" w:rsidP="001B15A2">
      <w:pPr>
        <w:pStyle w:val="Prrafodelista"/>
        <w:tabs>
          <w:tab w:val="left" w:pos="426"/>
        </w:tabs>
        <w:ind w:left="142"/>
        <w:rPr>
          <w:rFonts w:ascii="Gothic720 BT" w:hAnsi="Gothic720 BT"/>
        </w:rPr>
      </w:pPr>
    </w:p>
    <w:p w14:paraId="2873CF05" w14:textId="55C0AA6A" w:rsidR="00202187" w:rsidRPr="00BC2278" w:rsidRDefault="00202187" w:rsidP="001B15A2">
      <w:pPr>
        <w:pStyle w:val="Prrafodelista"/>
        <w:numPr>
          <w:ilvl w:val="0"/>
          <w:numId w:val="2"/>
        </w:numPr>
        <w:tabs>
          <w:tab w:val="left" w:pos="284"/>
          <w:tab w:val="left" w:pos="426"/>
        </w:tabs>
        <w:ind w:left="142" w:firstLine="0"/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>Reglamento de Adquisiciones:</w:t>
      </w:r>
      <w:r w:rsidRPr="00BC2278">
        <w:rPr>
          <w:rFonts w:ascii="Gothic720 BT" w:hAnsi="Gothic720 BT"/>
        </w:rPr>
        <w:t xml:space="preserve"> Reglamento de Adquisiciones, Enajenaciones, Arrendamientos y Contratación de Servicios del Instituto</w:t>
      </w:r>
      <w:r w:rsidR="00181EF3" w:rsidRPr="00BC2278">
        <w:rPr>
          <w:rFonts w:ascii="Gothic720 BT" w:hAnsi="Gothic720 BT"/>
        </w:rPr>
        <w:t xml:space="preserve"> Electoral del Estado de Querétaro. </w:t>
      </w:r>
    </w:p>
    <w:p w14:paraId="4B02E2B4" w14:textId="77777777" w:rsidR="00202187" w:rsidRPr="00BC2278" w:rsidRDefault="00202187" w:rsidP="001B15A2">
      <w:pPr>
        <w:pStyle w:val="Prrafodelista"/>
        <w:tabs>
          <w:tab w:val="left" w:pos="426"/>
        </w:tabs>
        <w:ind w:left="142"/>
        <w:rPr>
          <w:rFonts w:ascii="Gothic720 BT" w:hAnsi="Gothic720 BT"/>
        </w:rPr>
      </w:pPr>
    </w:p>
    <w:p w14:paraId="0948DAE9" w14:textId="55F3946C" w:rsidR="00202187" w:rsidRPr="00BC2278" w:rsidRDefault="00202187" w:rsidP="001B15A2">
      <w:pPr>
        <w:pStyle w:val="Prrafodelista"/>
        <w:numPr>
          <w:ilvl w:val="0"/>
          <w:numId w:val="2"/>
        </w:numPr>
        <w:tabs>
          <w:tab w:val="left" w:pos="284"/>
          <w:tab w:val="left" w:pos="426"/>
        </w:tabs>
        <w:ind w:left="142" w:firstLine="0"/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>Reglamento Interior:</w:t>
      </w:r>
      <w:r w:rsidRPr="00BC2278">
        <w:rPr>
          <w:rFonts w:ascii="Gothic720 BT" w:hAnsi="Gothic720 BT"/>
        </w:rPr>
        <w:t xml:space="preserve"> Reglamento Interior del Instituto Electoral del Estado de Querétaro. </w:t>
      </w:r>
    </w:p>
    <w:p w14:paraId="2317DF75" w14:textId="77777777" w:rsidR="00FA29D2" w:rsidRPr="00BC2278" w:rsidRDefault="00FA29D2" w:rsidP="00FA29D2">
      <w:pPr>
        <w:tabs>
          <w:tab w:val="left" w:pos="426"/>
        </w:tabs>
        <w:jc w:val="both"/>
        <w:rPr>
          <w:rFonts w:ascii="Gothic720 BT" w:hAnsi="Gothic720 BT"/>
          <w:sz w:val="2"/>
          <w:szCs w:val="2"/>
        </w:rPr>
      </w:pPr>
    </w:p>
    <w:p w14:paraId="48B03FAC" w14:textId="22408CF9" w:rsidR="000F512F" w:rsidRPr="00BC2278" w:rsidRDefault="000F512F" w:rsidP="000F512F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Gothic720 BT" w:hAnsi="Gothic720 BT"/>
        </w:rPr>
      </w:pPr>
      <w:r w:rsidRPr="00BC2278">
        <w:rPr>
          <w:rFonts w:ascii="Gothic720 BT" w:hAnsi="Gothic720 BT"/>
        </w:rPr>
        <w:t>Con relación a autoridades u órganos.</w:t>
      </w:r>
    </w:p>
    <w:p w14:paraId="216CDF43" w14:textId="77777777" w:rsidR="00F63A34" w:rsidRPr="00BC2278" w:rsidRDefault="00F63A34" w:rsidP="00F63A34">
      <w:pPr>
        <w:pStyle w:val="Prrafodelista"/>
        <w:tabs>
          <w:tab w:val="left" w:pos="284"/>
        </w:tabs>
        <w:ind w:left="0"/>
        <w:jc w:val="both"/>
        <w:rPr>
          <w:rFonts w:ascii="Gothic720 BT" w:hAnsi="Gothic720 BT"/>
        </w:rPr>
      </w:pPr>
    </w:p>
    <w:p w14:paraId="0A22CD4C" w14:textId="6D8128A8" w:rsidR="00C75BB8" w:rsidRPr="00BC2278" w:rsidRDefault="000F512F" w:rsidP="001B15A2">
      <w:pPr>
        <w:pStyle w:val="Prrafodelista"/>
        <w:numPr>
          <w:ilvl w:val="0"/>
          <w:numId w:val="4"/>
        </w:numPr>
        <w:tabs>
          <w:tab w:val="left" w:pos="284"/>
          <w:tab w:val="left" w:pos="426"/>
        </w:tabs>
        <w:ind w:left="142" w:firstLine="0"/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>Instituto:</w:t>
      </w:r>
      <w:r w:rsidRPr="00BC2278">
        <w:rPr>
          <w:rFonts w:ascii="Gothic720 BT" w:hAnsi="Gothic720 BT"/>
        </w:rPr>
        <w:t xml:space="preserve"> Instituto Electoral del Estado de Querétaro</w:t>
      </w:r>
      <w:r w:rsidR="00F63A34" w:rsidRPr="00BC2278">
        <w:rPr>
          <w:rFonts w:ascii="Gothic720 BT" w:hAnsi="Gothic720 BT"/>
        </w:rPr>
        <w:t>.</w:t>
      </w:r>
    </w:p>
    <w:p w14:paraId="0F01B430" w14:textId="77777777" w:rsidR="00C75BB8" w:rsidRPr="00BC2278" w:rsidRDefault="00C75BB8" w:rsidP="001B15A2">
      <w:pPr>
        <w:pStyle w:val="Prrafodelista"/>
        <w:tabs>
          <w:tab w:val="left" w:pos="284"/>
          <w:tab w:val="left" w:pos="426"/>
        </w:tabs>
        <w:ind w:left="142"/>
        <w:jc w:val="both"/>
        <w:rPr>
          <w:rFonts w:ascii="Gothic720 BT" w:hAnsi="Gothic720 BT"/>
        </w:rPr>
      </w:pPr>
    </w:p>
    <w:p w14:paraId="7C61F295" w14:textId="77777777" w:rsidR="00521571" w:rsidRPr="00BC2278" w:rsidRDefault="000F512F" w:rsidP="001B15A2">
      <w:pPr>
        <w:pStyle w:val="Prrafodelista"/>
        <w:numPr>
          <w:ilvl w:val="0"/>
          <w:numId w:val="4"/>
        </w:numPr>
        <w:tabs>
          <w:tab w:val="left" w:pos="284"/>
          <w:tab w:val="left" w:pos="426"/>
        </w:tabs>
        <w:ind w:left="142" w:firstLine="0"/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lastRenderedPageBreak/>
        <w:t>Consejo General</w:t>
      </w:r>
      <w:r w:rsidRPr="00BC2278">
        <w:rPr>
          <w:rFonts w:ascii="Gothic720 BT" w:hAnsi="Gothic720 BT"/>
        </w:rPr>
        <w:t xml:space="preserve">: </w:t>
      </w:r>
      <w:r w:rsidR="00F63A34" w:rsidRPr="00BC2278">
        <w:rPr>
          <w:rFonts w:ascii="Gothic720 BT" w:hAnsi="Gothic720 BT"/>
        </w:rPr>
        <w:t xml:space="preserve">Consejo General del Instituto. </w:t>
      </w:r>
    </w:p>
    <w:p w14:paraId="54A43125" w14:textId="77777777" w:rsidR="00521571" w:rsidRPr="00BC2278" w:rsidRDefault="00521571" w:rsidP="001B15A2">
      <w:pPr>
        <w:pStyle w:val="Prrafodelista"/>
        <w:ind w:left="142"/>
        <w:rPr>
          <w:rFonts w:ascii="Gothic720 BT" w:hAnsi="Gothic720 BT"/>
        </w:rPr>
      </w:pPr>
    </w:p>
    <w:p w14:paraId="350304B1" w14:textId="72684B40" w:rsidR="00521571" w:rsidRPr="00BC2278" w:rsidRDefault="00521571" w:rsidP="00327EB1">
      <w:pPr>
        <w:pStyle w:val="Prrafodelista"/>
        <w:numPr>
          <w:ilvl w:val="0"/>
          <w:numId w:val="4"/>
        </w:numPr>
        <w:tabs>
          <w:tab w:val="left" w:pos="567"/>
        </w:tabs>
        <w:ind w:left="426" w:hanging="284"/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>Comité Administrador:</w:t>
      </w:r>
      <w:r w:rsidRPr="00BC2278">
        <w:rPr>
          <w:rFonts w:ascii="Gothic720 BT" w:hAnsi="Gothic720 BT"/>
        </w:rPr>
        <w:t xml:space="preserve"> Comité Administrador en Materia de Comunicación Social</w:t>
      </w:r>
      <w:r w:rsidR="00181EF3" w:rsidRPr="00BC2278">
        <w:rPr>
          <w:rFonts w:ascii="Gothic720 BT" w:hAnsi="Gothic720 BT"/>
        </w:rPr>
        <w:t xml:space="preserve"> del Instituto. </w:t>
      </w:r>
    </w:p>
    <w:p w14:paraId="4FD7C767" w14:textId="77777777" w:rsidR="00521571" w:rsidRPr="00BC2278" w:rsidRDefault="00521571" w:rsidP="001B15A2">
      <w:pPr>
        <w:pStyle w:val="Prrafodelista"/>
        <w:ind w:left="142"/>
        <w:rPr>
          <w:rFonts w:ascii="Gothic720 BT" w:hAnsi="Gothic720 BT"/>
        </w:rPr>
      </w:pPr>
    </w:p>
    <w:p w14:paraId="59B68590" w14:textId="740AA0DE" w:rsidR="00521571" w:rsidRPr="00BC2278" w:rsidRDefault="00521571" w:rsidP="001B15A2">
      <w:pPr>
        <w:pStyle w:val="Prrafodelista"/>
        <w:numPr>
          <w:ilvl w:val="0"/>
          <w:numId w:val="4"/>
        </w:numPr>
        <w:tabs>
          <w:tab w:val="left" w:pos="284"/>
          <w:tab w:val="left" w:pos="426"/>
        </w:tabs>
        <w:ind w:left="142" w:firstLine="0"/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>Coordinación</w:t>
      </w:r>
      <w:r w:rsidRPr="00BC2278">
        <w:rPr>
          <w:rFonts w:ascii="Gothic720 BT" w:hAnsi="Gothic720 BT"/>
        </w:rPr>
        <w:t>: Coordinación de Comunicación Social del Instituto.</w:t>
      </w:r>
    </w:p>
    <w:p w14:paraId="2ACB90B4" w14:textId="77777777" w:rsidR="00061A90" w:rsidRPr="00BC2278" w:rsidRDefault="00061A90" w:rsidP="001B15A2">
      <w:pPr>
        <w:pStyle w:val="Prrafodelista"/>
        <w:ind w:left="142"/>
        <w:rPr>
          <w:rFonts w:ascii="Gothic720 BT" w:hAnsi="Gothic720 BT"/>
        </w:rPr>
      </w:pPr>
    </w:p>
    <w:p w14:paraId="56CA527E" w14:textId="41AFD522" w:rsidR="00061A90" w:rsidRPr="00BC2278" w:rsidRDefault="00061A90" w:rsidP="001B15A2">
      <w:pPr>
        <w:pStyle w:val="Prrafodelista"/>
        <w:numPr>
          <w:ilvl w:val="0"/>
          <w:numId w:val="4"/>
        </w:numPr>
        <w:tabs>
          <w:tab w:val="left" w:pos="284"/>
          <w:tab w:val="left" w:pos="426"/>
        </w:tabs>
        <w:ind w:left="142" w:firstLine="0"/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>Coordinación Administrativa:</w:t>
      </w:r>
      <w:r w:rsidRPr="00BC2278">
        <w:rPr>
          <w:rFonts w:ascii="Gothic720 BT" w:hAnsi="Gothic720 BT"/>
        </w:rPr>
        <w:t xml:space="preserve"> Coordinación Administrativa del Instituto.</w:t>
      </w:r>
    </w:p>
    <w:p w14:paraId="1812ABBD" w14:textId="77777777" w:rsidR="00061A90" w:rsidRPr="00BC2278" w:rsidRDefault="00061A90" w:rsidP="00061A90">
      <w:pPr>
        <w:pStyle w:val="Prrafodelista"/>
        <w:tabs>
          <w:tab w:val="left" w:pos="284"/>
          <w:tab w:val="left" w:pos="426"/>
        </w:tabs>
        <w:ind w:left="0"/>
        <w:jc w:val="both"/>
        <w:rPr>
          <w:rFonts w:ascii="Gothic720 BT" w:hAnsi="Gothic720 BT"/>
        </w:rPr>
      </w:pPr>
    </w:p>
    <w:p w14:paraId="30E1AD5A" w14:textId="4B3F76EE" w:rsidR="000F512F" w:rsidRPr="00BC2278" w:rsidRDefault="000F512F" w:rsidP="001B15A2">
      <w:pPr>
        <w:pStyle w:val="Prrafodelista"/>
        <w:numPr>
          <w:ilvl w:val="0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ascii="Gothic720 BT" w:hAnsi="Gothic720 BT"/>
        </w:rPr>
      </w:pPr>
      <w:r w:rsidRPr="00BC2278">
        <w:rPr>
          <w:rFonts w:ascii="Gothic720 BT" w:hAnsi="Gothic720 BT"/>
        </w:rPr>
        <w:t xml:space="preserve">Con relación a otros términos. </w:t>
      </w:r>
    </w:p>
    <w:p w14:paraId="5CC25C28" w14:textId="77777777" w:rsidR="00F63A34" w:rsidRPr="00BC2278" w:rsidRDefault="00F63A34" w:rsidP="00F63A34">
      <w:pPr>
        <w:pStyle w:val="Prrafodelista"/>
        <w:tabs>
          <w:tab w:val="left" w:pos="284"/>
        </w:tabs>
        <w:ind w:left="0"/>
        <w:jc w:val="both"/>
        <w:rPr>
          <w:rFonts w:ascii="Gothic720 BT" w:hAnsi="Gothic720 BT"/>
        </w:rPr>
      </w:pPr>
    </w:p>
    <w:p w14:paraId="34B713B0" w14:textId="2691F431" w:rsidR="00BF0F8F" w:rsidRPr="00BC2278" w:rsidRDefault="00CF1FD5" w:rsidP="001B15A2">
      <w:pPr>
        <w:pStyle w:val="Prrafodelista"/>
        <w:numPr>
          <w:ilvl w:val="0"/>
          <w:numId w:val="5"/>
        </w:numPr>
        <w:tabs>
          <w:tab w:val="left" w:pos="284"/>
          <w:tab w:val="left" w:pos="426"/>
        </w:tabs>
        <w:ind w:left="142" w:firstLine="0"/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>Campaña de Comunicación Social</w:t>
      </w:r>
      <w:r w:rsidRPr="00BC2278">
        <w:rPr>
          <w:rFonts w:ascii="Gothic720 BT" w:hAnsi="Gothic720 BT"/>
        </w:rPr>
        <w:t>:</w:t>
      </w:r>
      <w:r w:rsidR="007C7A20" w:rsidRPr="00BC2278">
        <w:rPr>
          <w:rFonts w:ascii="Gothic720 BT" w:hAnsi="Gothic720 BT"/>
        </w:rPr>
        <w:t xml:space="preserve"> Estrategia específicamente diseñada y ejecutada por el Instituto en diversos medios de comunicación para promocionar e informar los fines, servicios, acciones o logros y demás acciones relevantes a la población. </w:t>
      </w:r>
    </w:p>
    <w:p w14:paraId="0E3970F7" w14:textId="77777777" w:rsidR="00066BC1" w:rsidRPr="00BC2278" w:rsidRDefault="00066BC1" w:rsidP="00066BC1">
      <w:pPr>
        <w:pStyle w:val="Prrafodelista"/>
        <w:tabs>
          <w:tab w:val="left" w:pos="284"/>
          <w:tab w:val="left" w:pos="426"/>
        </w:tabs>
        <w:ind w:left="142"/>
        <w:jc w:val="both"/>
        <w:rPr>
          <w:rFonts w:ascii="Gothic720 BT" w:hAnsi="Gothic720 BT"/>
        </w:rPr>
      </w:pPr>
    </w:p>
    <w:p w14:paraId="22969A4F" w14:textId="144A3C14" w:rsidR="00BF0F8F" w:rsidRPr="00BC2278" w:rsidRDefault="00BF0F8F" w:rsidP="001B15A2">
      <w:pPr>
        <w:pStyle w:val="Prrafodelista"/>
        <w:numPr>
          <w:ilvl w:val="0"/>
          <w:numId w:val="5"/>
        </w:numPr>
        <w:tabs>
          <w:tab w:val="left" w:pos="284"/>
          <w:tab w:val="left" w:pos="426"/>
        </w:tabs>
        <w:ind w:left="142" w:firstLine="0"/>
        <w:jc w:val="both"/>
        <w:rPr>
          <w:rFonts w:ascii="Gothic720 BT" w:hAnsi="Gothic720 BT"/>
        </w:rPr>
      </w:pPr>
      <w:bookmarkStart w:id="7" w:name="_Hlk132012611"/>
      <w:r w:rsidRPr="00BC2278">
        <w:rPr>
          <w:rFonts w:ascii="Gothic720 BT" w:hAnsi="Gothic720 BT"/>
          <w:b/>
          <w:bCs/>
        </w:rPr>
        <w:t>Estudios de efectividad:</w:t>
      </w:r>
      <w:r w:rsidRPr="00BC2278">
        <w:rPr>
          <w:rFonts w:ascii="Gothic720 BT" w:hAnsi="Gothic720 BT"/>
        </w:rPr>
        <w:t xml:space="preserve"> </w:t>
      </w:r>
      <w:r w:rsidR="00066BC1" w:rsidRPr="00BC2278">
        <w:rPr>
          <w:rFonts w:ascii="Gothic720 BT" w:hAnsi="Gothic720 BT"/>
        </w:rPr>
        <w:t>M</w:t>
      </w:r>
      <w:r w:rsidR="00342D01" w:rsidRPr="00BC2278">
        <w:rPr>
          <w:rFonts w:ascii="Gothic720 BT" w:hAnsi="Gothic720 BT"/>
        </w:rPr>
        <w:t xml:space="preserve">iden el grado de cumplimiento y </w:t>
      </w:r>
      <w:r w:rsidR="00F548D4" w:rsidRPr="00BC2278">
        <w:rPr>
          <w:rFonts w:ascii="Gothic720 BT" w:hAnsi="Gothic720 BT"/>
        </w:rPr>
        <w:t>eficiencia</w:t>
      </w:r>
      <w:r w:rsidR="00342D01" w:rsidRPr="00BC2278">
        <w:rPr>
          <w:rFonts w:ascii="Gothic720 BT" w:hAnsi="Gothic720 BT"/>
        </w:rPr>
        <w:t xml:space="preserve"> de las metas y objetivos planteados en el Programa y Estrategia Anual de Comunicación Social del </w:t>
      </w:r>
      <w:r w:rsidR="00066BC1" w:rsidRPr="00BC2278">
        <w:rPr>
          <w:rFonts w:ascii="Gothic720 BT" w:hAnsi="Gothic720 BT"/>
        </w:rPr>
        <w:t>Instituto, así como la campaña de comunicación social</w:t>
      </w:r>
      <w:r w:rsidR="00342D01" w:rsidRPr="00BC2278">
        <w:rPr>
          <w:rFonts w:ascii="Gothic720 BT" w:hAnsi="Gothic720 BT"/>
        </w:rPr>
        <w:t xml:space="preserve">, </w:t>
      </w:r>
      <w:r w:rsidR="00066BC1" w:rsidRPr="00BC2278">
        <w:rPr>
          <w:rFonts w:ascii="Gothic720 BT" w:hAnsi="Gothic720 BT"/>
        </w:rPr>
        <w:t>además</w:t>
      </w:r>
      <w:r w:rsidR="00342D01" w:rsidRPr="00BC2278">
        <w:rPr>
          <w:rFonts w:ascii="Gothic720 BT" w:hAnsi="Gothic720 BT"/>
        </w:rPr>
        <w:t xml:space="preserve"> </w:t>
      </w:r>
      <w:r w:rsidR="00066BC1" w:rsidRPr="00BC2278">
        <w:rPr>
          <w:rFonts w:ascii="Gothic720 BT" w:hAnsi="Gothic720 BT"/>
        </w:rPr>
        <w:t>d</w:t>
      </w:r>
      <w:r w:rsidR="00342D01" w:rsidRPr="00BC2278">
        <w:rPr>
          <w:rFonts w:ascii="Gothic720 BT" w:hAnsi="Gothic720 BT"/>
        </w:rPr>
        <w:t xml:space="preserve">el impacto en la población objetivo </w:t>
      </w:r>
      <w:r w:rsidR="00066BC1" w:rsidRPr="00BC2278">
        <w:rPr>
          <w:rFonts w:ascii="Gothic720 BT" w:hAnsi="Gothic720 BT"/>
        </w:rPr>
        <w:t>a través</w:t>
      </w:r>
      <w:r w:rsidR="00342D01" w:rsidRPr="00BC2278">
        <w:rPr>
          <w:rFonts w:ascii="Gothic720 BT" w:hAnsi="Gothic720 BT"/>
        </w:rPr>
        <w:t xml:space="preserve"> </w:t>
      </w:r>
      <w:r w:rsidR="00066BC1" w:rsidRPr="00BC2278">
        <w:rPr>
          <w:rFonts w:ascii="Gothic720 BT" w:hAnsi="Gothic720 BT"/>
        </w:rPr>
        <w:t>de su evaluación.</w:t>
      </w:r>
    </w:p>
    <w:bookmarkEnd w:id="7"/>
    <w:p w14:paraId="06AA8CF6" w14:textId="77777777" w:rsidR="00BF0F8F" w:rsidRPr="00BC2278" w:rsidRDefault="00BF0F8F" w:rsidP="001B15A2">
      <w:pPr>
        <w:pStyle w:val="Prrafodelista"/>
        <w:tabs>
          <w:tab w:val="left" w:pos="426"/>
        </w:tabs>
        <w:ind w:left="142"/>
        <w:rPr>
          <w:rFonts w:ascii="Gothic720 BT" w:hAnsi="Gothic720 BT"/>
        </w:rPr>
      </w:pPr>
    </w:p>
    <w:p w14:paraId="7E4A56A8" w14:textId="3EABB2CB" w:rsidR="00342D01" w:rsidRPr="00BC2278" w:rsidRDefault="00BF0F8F" w:rsidP="00342D01">
      <w:pPr>
        <w:pStyle w:val="Prrafodelista"/>
        <w:numPr>
          <w:ilvl w:val="0"/>
          <w:numId w:val="5"/>
        </w:numPr>
        <w:tabs>
          <w:tab w:val="left" w:pos="284"/>
          <w:tab w:val="left" w:pos="426"/>
        </w:tabs>
        <w:ind w:left="142" w:firstLine="0"/>
        <w:jc w:val="both"/>
        <w:rPr>
          <w:rFonts w:ascii="Gothic720 BT" w:hAnsi="Gothic720 BT"/>
        </w:rPr>
      </w:pPr>
      <w:bookmarkStart w:id="8" w:name="_Hlk132013190"/>
      <w:r w:rsidRPr="00BC2278">
        <w:rPr>
          <w:rFonts w:ascii="Gothic720 BT" w:hAnsi="Gothic720 BT"/>
          <w:b/>
          <w:bCs/>
        </w:rPr>
        <w:t>Estudios de pertinencia:</w:t>
      </w:r>
      <w:r w:rsidRPr="00BC2278">
        <w:rPr>
          <w:rFonts w:ascii="Gothic720 BT" w:hAnsi="Gothic720 BT"/>
        </w:rPr>
        <w:t xml:space="preserve">  </w:t>
      </w:r>
      <w:bookmarkEnd w:id="8"/>
      <w:r w:rsidR="00066BC1" w:rsidRPr="00BC2278">
        <w:rPr>
          <w:rFonts w:ascii="Gothic720 BT" w:hAnsi="Gothic720 BT"/>
        </w:rPr>
        <w:t>M</w:t>
      </w:r>
      <w:r w:rsidR="00342D01" w:rsidRPr="00BC2278">
        <w:rPr>
          <w:rFonts w:ascii="Gothic720 BT" w:hAnsi="Gothic720 BT"/>
        </w:rPr>
        <w:t>iden el grado de comprensión y aceptación que se tiene entre la población objetivo de la propuesta de Campaña de Comunicación Social y verifican la idoneidad de los medios de comunicación seleccionados.</w:t>
      </w:r>
    </w:p>
    <w:p w14:paraId="1A71B02B" w14:textId="77777777" w:rsidR="00342D01" w:rsidRPr="00BC2278" w:rsidRDefault="00342D01" w:rsidP="00342D01">
      <w:pPr>
        <w:tabs>
          <w:tab w:val="left" w:pos="284"/>
          <w:tab w:val="left" w:pos="426"/>
        </w:tabs>
        <w:jc w:val="both"/>
        <w:rPr>
          <w:rFonts w:ascii="Gothic720 BT" w:hAnsi="Gothic720 BT"/>
          <w:sz w:val="2"/>
          <w:szCs w:val="2"/>
        </w:rPr>
      </w:pPr>
    </w:p>
    <w:p w14:paraId="46AD0EE5" w14:textId="631CFE73" w:rsidR="00BF0F8F" w:rsidRPr="00BC2278" w:rsidRDefault="00F63A34" w:rsidP="001B15A2">
      <w:pPr>
        <w:pStyle w:val="Prrafodelista"/>
        <w:numPr>
          <w:ilvl w:val="0"/>
          <w:numId w:val="5"/>
        </w:numPr>
        <w:tabs>
          <w:tab w:val="left" w:pos="284"/>
          <w:tab w:val="left" w:pos="426"/>
        </w:tabs>
        <w:ind w:left="142" w:firstLine="0"/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>Mensajes</w:t>
      </w:r>
      <w:r w:rsidRPr="00BC2278">
        <w:rPr>
          <w:rFonts w:ascii="Gothic720 BT" w:hAnsi="Gothic720 BT"/>
        </w:rPr>
        <w:t xml:space="preserve">: </w:t>
      </w:r>
      <w:r w:rsidR="00E64754" w:rsidRPr="00BC2278">
        <w:rPr>
          <w:rFonts w:ascii="Gothic720 BT" w:hAnsi="Gothic720 BT"/>
        </w:rPr>
        <w:t>Forma de comunicación pública realizada a través de cualquier medio con la finalidad de transmitir a l</w:t>
      </w:r>
      <w:r w:rsidR="00887B11" w:rsidRPr="00BC2278">
        <w:rPr>
          <w:rFonts w:ascii="Gothic720 BT" w:hAnsi="Gothic720 BT"/>
        </w:rPr>
        <w:t xml:space="preserve">a </w:t>
      </w:r>
      <w:r w:rsidR="00E64754" w:rsidRPr="00BC2278">
        <w:rPr>
          <w:rFonts w:ascii="Gothic720 BT" w:hAnsi="Gothic720 BT"/>
        </w:rPr>
        <w:t>ciudadan</w:t>
      </w:r>
      <w:r w:rsidR="00887B11" w:rsidRPr="00BC2278">
        <w:rPr>
          <w:rFonts w:ascii="Gothic720 BT" w:hAnsi="Gothic720 BT"/>
        </w:rPr>
        <w:t>ía información de interés público</w:t>
      </w:r>
      <w:r w:rsidR="00330F66" w:rsidRPr="00BC2278">
        <w:rPr>
          <w:rFonts w:ascii="Gothic720 BT" w:hAnsi="Gothic720 BT"/>
        </w:rPr>
        <w:t>, de conformidad con los fines del Instituto</w:t>
      </w:r>
      <w:r w:rsidR="00887B11" w:rsidRPr="00BC2278">
        <w:rPr>
          <w:rFonts w:ascii="Gothic720 BT" w:hAnsi="Gothic720 BT"/>
        </w:rPr>
        <w:t xml:space="preserve">. </w:t>
      </w:r>
    </w:p>
    <w:p w14:paraId="7821430D" w14:textId="77777777" w:rsidR="00BF0F8F" w:rsidRPr="00BC2278" w:rsidRDefault="00BF0F8F" w:rsidP="001B15A2">
      <w:pPr>
        <w:pStyle w:val="Prrafodelista"/>
        <w:tabs>
          <w:tab w:val="left" w:pos="426"/>
        </w:tabs>
        <w:ind w:left="142"/>
        <w:rPr>
          <w:rFonts w:ascii="Gothic720 BT" w:hAnsi="Gothic720 BT"/>
        </w:rPr>
      </w:pPr>
    </w:p>
    <w:p w14:paraId="1CC65273" w14:textId="732EF62C" w:rsidR="00BF0F8F" w:rsidRPr="00BC2278" w:rsidRDefault="00BF0F8F" w:rsidP="001B15A2">
      <w:pPr>
        <w:pStyle w:val="Prrafodelista"/>
        <w:numPr>
          <w:ilvl w:val="0"/>
          <w:numId w:val="5"/>
        </w:numPr>
        <w:tabs>
          <w:tab w:val="left" w:pos="284"/>
          <w:tab w:val="left" w:pos="426"/>
        </w:tabs>
        <w:ind w:left="142" w:firstLine="0"/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>Estrategia Anual de Comunicación Social:</w:t>
      </w:r>
      <w:r w:rsidRPr="00BC2278">
        <w:rPr>
          <w:rFonts w:ascii="Gothic720 BT" w:hAnsi="Gothic720 BT"/>
        </w:rPr>
        <w:t xml:space="preserve"> Instrumento de planeación </w:t>
      </w:r>
      <w:r w:rsidR="00C06DFE" w:rsidRPr="00BC2278">
        <w:rPr>
          <w:rFonts w:ascii="Gothic720 BT" w:hAnsi="Gothic720 BT"/>
        </w:rPr>
        <w:t xml:space="preserve">que emite el Comité Administrador, el cual </w:t>
      </w:r>
      <w:r w:rsidRPr="00BC2278">
        <w:rPr>
          <w:rFonts w:ascii="Gothic720 BT" w:hAnsi="Gothic720 BT"/>
        </w:rPr>
        <w:t xml:space="preserve">expresa los temas prioritarios </w:t>
      </w:r>
      <w:r w:rsidR="00C06DFE" w:rsidRPr="00BC2278">
        <w:rPr>
          <w:rFonts w:ascii="Gothic720 BT" w:hAnsi="Gothic720 BT"/>
        </w:rPr>
        <w:t>que el Instituto pretende difundir</w:t>
      </w:r>
      <w:r w:rsidRPr="00BC2278">
        <w:rPr>
          <w:rFonts w:ascii="Gothic720 BT" w:hAnsi="Gothic720 BT"/>
        </w:rPr>
        <w:t xml:space="preserve"> durante el ejercicio fiscal correspondiente. </w:t>
      </w:r>
    </w:p>
    <w:p w14:paraId="7F591DE5" w14:textId="77777777" w:rsidR="00C75BB8" w:rsidRPr="00BC2278" w:rsidRDefault="00C75BB8" w:rsidP="001B15A2">
      <w:pPr>
        <w:pStyle w:val="Prrafodelista"/>
        <w:tabs>
          <w:tab w:val="left" w:pos="426"/>
        </w:tabs>
        <w:ind w:left="142"/>
        <w:rPr>
          <w:rFonts w:ascii="Gothic720 BT" w:hAnsi="Gothic720 BT"/>
          <w:b/>
          <w:bCs/>
        </w:rPr>
      </w:pPr>
    </w:p>
    <w:p w14:paraId="2D493F6C" w14:textId="2600937B" w:rsidR="00C75BB8" w:rsidRPr="00BC2278" w:rsidRDefault="00810243" w:rsidP="001B15A2">
      <w:pPr>
        <w:pStyle w:val="Prrafodelista"/>
        <w:numPr>
          <w:ilvl w:val="0"/>
          <w:numId w:val="5"/>
        </w:numPr>
        <w:tabs>
          <w:tab w:val="left" w:pos="284"/>
          <w:tab w:val="left" w:pos="426"/>
        </w:tabs>
        <w:ind w:left="142" w:firstLine="0"/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>Programa Anual de Comunicación Social:</w:t>
      </w:r>
      <w:r w:rsidRPr="00BC2278">
        <w:rPr>
          <w:rFonts w:ascii="Gothic720 BT" w:hAnsi="Gothic720 BT"/>
        </w:rPr>
        <w:t xml:space="preserve"> </w:t>
      </w:r>
      <w:r w:rsidR="007F7B98" w:rsidRPr="00BC2278">
        <w:rPr>
          <w:rFonts w:ascii="Gothic720 BT" w:hAnsi="Gothic720 BT"/>
        </w:rPr>
        <w:t xml:space="preserve">Conjunto de </w:t>
      </w:r>
      <w:r w:rsidR="00EE7418" w:rsidRPr="00BC2278">
        <w:rPr>
          <w:rFonts w:ascii="Gothic720 BT" w:hAnsi="Gothic720 BT"/>
        </w:rPr>
        <w:t>c</w:t>
      </w:r>
      <w:r w:rsidR="007F7B98" w:rsidRPr="00BC2278">
        <w:rPr>
          <w:rFonts w:ascii="Gothic720 BT" w:hAnsi="Gothic720 BT"/>
        </w:rPr>
        <w:t xml:space="preserve">ampañas </w:t>
      </w:r>
      <w:r w:rsidR="00EE7418" w:rsidRPr="00BC2278">
        <w:rPr>
          <w:rFonts w:ascii="Gothic720 BT" w:hAnsi="Gothic720 BT"/>
        </w:rPr>
        <w:t xml:space="preserve">de comunicación social </w:t>
      </w:r>
      <w:r w:rsidR="007C7A20" w:rsidRPr="00BC2278">
        <w:rPr>
          <w:rFonts w:ascii="Gothic720 BT" w:hAnsi="Gothic720 BT"/>
        </w:rPr>
        <w:t xml:space="preserve">a difundirse en un ejercicio fiscal </w:t>
      </w:r>
      <w:r w:rsidR="007F7B98" w:rsidRPr="00BC2278">
        <w:rPr>
          <w:rFonts w:ascii="Gothic720 BT" w:hAnsi="Gothic720 BT"/>
        </w:rPr>
        <w:t>derivadas de la Estrategia Anual</w:t>
      </w:r>
      <w:r w:rsidR="004C6F82" w:rsidRPr="00BC2278">
        <w:rPr>
          <w:rFonts w:ascii="Gothic720 BT" w:hAnsi="Gothic720 BT"/>
        </w:rPr>
        <w:t xml:space="preserve"> de Comunicación Social</w:t>
      </w:r>
      <w:r w:rsidR="007F7B98" w:rsidRPr="00BC2278">
        <w:rPr>
          <w:rFonts w:ascii="Gothic720 BT" w:hAnsi="Gothic720 BT"/>
        </w:rPr>
        <w:t>.</w:t>
      </w:r>
    </w:p>
    <w:p w14:paraId="34B5816E" w14:textId="07B609AC" w:rsidR="004227FF" w:rsidRPr="00BC2278" w:rsidRDefault="00AE2EE1" w:rsidP="00AE2EE1">
      <w:pPr>
        <w:tabs>
          <w:tab w:val="left" w:pos="284"/>
        </w:tabs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 xml:space="preserve">Artículo </w:t>
      </w:r>
      <w:r w:rsidR="006C6C61" w:rsidRPr="00BC2278">
        <w:rPr>
          <w:rFonts w:ascii="Gothic720 BT" w:hAnsi="Gothic720 BT"/>
          <w:b/>
          <w:bCs/>
        </w:rPr>
        <w:t>4</w:t>
      </w:r>
      <w:r w:rsidRPr="00BC2278">
        <w:rPr>
          <w:rFonts w:ascii="Gothic720 BT" w:hAnsi="Gothic720 BT"/>
        </w:rPr>
        <w:t xml:space="preserve">. </w:t>
      </w:r>
      <w:r w:rsidR="004227FF" w:rsidRPr="00BC2278">
        <w:rPr>
          <w:rFonts w:ascii="Gothic720 BT" w:hAnsi="Gothic720 BT"/>
        </w:rPr>
        <w:t xml:space="preserve">La aplicación de los Lineamientos se realizará de conformidad </w:t>
      </w:r>
      <w:r w:rsidR="00576281" w:rsidRPr="00BC2278">
        <w:rPr>
          <w:rFonts w:ascii="Gothic720 BT" w:hAnsi="Gothic720 BT"/>
        </w:rPr>
        <w:t xml:space="preserve">con </w:t>
      </w:r>
      <w:r w:rsidR="004227FF" w:rsidRPr="00BC2278">
        <w:rPr>
          <w:rFonts w:ascii="Gothic720 BT" w:hAnsi="Gothic720 BT"/>
        </w:rPr>
        <w:t xml:space="preserve">los principios que rigen la materia electoral, así como los previstos en la Ley General. </w:t>
      </w:r>
    </w:p>
    <w:p w14:paraId="7476F4AA" w14:textId="03241654" w:rsidR="002370D6" w:rsidRPr="00BC2278" w:rsidRDefault="00AE2EE1" w:rsidP="00AE2EE1">
      <w:pPr>
        <w:tabs>
          <w:tab w:val="left" w:pos="284"/>
        </w:tabs>
        <w:jc w:val="both"/>
        <w:rPr>
          <w:rFonts w:ascii="Gothic720 BT" w:hAnsi="Gothic720 BT"/>
          <w:b/>
          <w:bCs/>
          <w:strike/>
        </w:rPr>
      </w:pPr>
      <w:r w:rsidRPr="00BC2278">
        <w:rPr>
          <w:rFonts w:ascii="Gothic720 BT" w:hAnsi="Gothic720 BT"/>
          <w:b/>
          <w:bCs/>
        </w:rPr>
        <w:t xml:space="preserve">Artículo </w:t>
      </w:r>
      <w:r w:rsidR="006C6C61" w:rsidRPr="00BC2278">
        <w:rPr>
          <w:rFonts w:ascii="Gothic720 BT" w:hAnsi="Gothic720 BT"/>
          <w:b/>
          <w:bCs/>
        </w:rPr>
        <w:t>5</w:t>
      </w:r>
      <w:r w:rsidRPr="00BC2278">
        <w:rPr>
          <w:rFonts w:ascii="Gothic720 BT" w:hAnsi="Gothic720 BT"/>
          <w:b/>
          <w:bCs/>
        </w:rPr>
        <w:t>.</w:t>
      </w:r>
      <w:r w:rsidR="00C3140D" w:rsidRPr="00BC2278">
        <w:rPr>
          <w:rFonts w:ascii="Gothic720 BT" w:hAnsi="Gothic720 BT"/>
          <w:b/>
          <w:bCs/>
        </w:rPr>
        <w:t xml:space="preserve"> </w:t>
      </w:r>
      <w:r w:rsidR="004B073B" w:rsidRPr="00BC2278">
        <w:rPr>
          <w:rFonts w:ascii="Gothic720 BT" w:hAnsi="Gothic720 BT"/>
        </w:rPr>
        <w:t xml:space="preserve">Son aplicables de manera </w:t>
      </w:r>
      <w:r w:rsidR="00EB330B" w:rsidRPr="00BC2278">
        <w:rPr>
          <w:rFonts w:ascii="Gothic720 BT" w:hAnsi="Gothic720 BT"/>
        </w:rPr>
        <w:t>complementaria</w:t>
      </w:r>
      <w:r w:rsidR="004B073B" w:rsidRPr="00BC2278">
        <w:rPr>
          <w:rFonts w:ascii="Gothic720 BT" w:hAnsi="Gothic720 BT"/>
        </w:rPr>
        <w:t xml:space="preserve"> a los presentes Lineamientos la </w:t>
      </w:r>
      <w:r w:rsidR="006E60D8" w:rsidRPr="00BC2278">
        <w:rPr>
          <w:rFonts w:ascii="Gothic720 BT" w:hAnsi="Gothic720 BT"/>
        </w:rPr>
        <w:t xml:space="preserve">Ley </w:t>
      </w:r>
      <w:r w:rsidR="00226CD3" w:rsidRPr="00BC2278">
        <w:rPr>
          <w:rFonts w:ascii="Gothic720 BT" w:hAnsi="Gothic720 BT"/>
        </w:rPr>
        <w:t>General</w:t>
      </w:r>
      <w:r w:rsidR="004C6F82" w:rsidRPr="00BC2278">
        <w:rPr>
          <w:rFonts w:ascii="Gothic720 BT" w:hAnsi="Gothic720 BT"/>
        </w:rPr>
        <w:t xml:space="preserve">; </w:t>
      </w:r>
      <w:r w:rsidR="00226CD3" w:rsidRPr="00BC2278">
        <w:rPr>
          <w:rFonts w:ascii="Gothic720 BT" w:hAnsi="Gothic720 BT"/>
        </w:rPr>
        <w:t xml:space="preserve">la Ley </w:t>
      </w:r>
      <w:r w:rsidR="00181EF3" w:rsidRPr="00BC2278">
        <w:rPr>
          <w:rFonts w:ascii="Gothic720 BT" w:hAnsi="Gothic720 BT"/>
        </w:rPr>
        <w:t xml:space="preserve">de </w:t>
      </w:r>
      <w:r w:rsidR="006E60D8" w:rsidRPr="00BC2278">
        <w:rPr>
          <w:rFonts w:ascii="Gothic720 BT" w:hAnsi="Gothic720 BT"/>
        </w:rPr>
        <w:t>Adquisiciones, Arrendamientos y Contratación de Servicios del Estado de Querétaro</w:t>
      </w:r>
      <w:r w:rsidR="004C6F82" w:rsidRPr="00BC2278">
        <w:rPr>
          <w:rFonts w:ascii="Gothic720 BT" w:hAnsi="Gothic720 BT"/>
        </w:rPr>
        <w:t>;</w:t>
      </w:r>
      <w:r w:rsidR="004B073B" w:rsidRPr="00BC2278">
        <w:rPr>
          <w:rFonts w:ascii="Gothic720 BT" w:hAnsi="Gothic720 BT"/>
        </w:rPr>
        <w:t xml:space="preserve"> el</w:t>
      </w:r>
      <w:r w:rsidR="006E60D8" w:rsidRPr="00BC2278">
        <w:rPr>
          <w:rFonts w:ascii="Gothic720 BT" w:hAnsi="Gothic720 BT"/>
        </w:rPr>
        <w:t xml:space="preserve"> </w:t>
      </w:r>
      <w:r w:rsidR="004B073B" w:rsidRPr="00BC2278">
        <w:rPr>
          <w:rFonts w:ascii="Gothic720 BT" w:hAnsi="Gothic720 BT"/>
        </w:rPr>
        <w:t>Reglamento Interio</w:t>
      </w:r>
      <w:r w:rsidR="004C6F82" w:rsidRPr="00BC2278">
        <w:rPr>
          <w:rFonts w:ascii="Gothic720 BT" w:hAnsi="Gothic720 BT"/>
        </w:rPr>
        <w:t xml:space="preserve">r y </w:t>
      </w:r>
      <w:r w:rsidR="004B073B" w:rsidRPr="00BC2278">
        <w:rPr>
          <w:rFonts w:ascii="Gothic720 BT" w:hAnsi="Gothic720 BT"/>
        </w:rPr>
        <w:t>el Reglamento de Adquisiciones</w:t>
      </w:r>
      <w:r w:rsidR="00181EF3" w:rsidRPr="00BC2278">
        <w:rPr>
          <w:rFonts w:ascii="Gothic720 BT" w:hAnsi="Gothic720 BT"/>
        </w:rPr>
        <w:t xml:space="preserve">. </w:t>
      </w:r>
    </w:p>
    <w:p w14:paraId="3B401FF4" w14:textId="77777777" w:rsidR="00160686" w:rsidRPr="00BC2278" w:rsidRDefault="00160686" w:rsidP="00AE2EE1">
      <w:pPr>
        <w:tabs>
          <w:tab w:val="left" w:pos="284"/>
        </w:tabs>
        <w:jc w:val="both"/>
        <w:rPr>
          <w:rFonts w:ascii="Gothic720 BT" w:hAnsi="Gothic720 BT"/>
          <w:sz w:val="2"/>
          <w:szCs w:val="2"/>
        </w:rPr>
      </w:pPr>
    </w:p>
    <w:p w14:paraId="4DE857ED" w14:textId="4D196A6F" w:rsidR="00160686" w:rsidRPr="00BC2278" w:rsidRDefault="00160686" w:rsidP="00692572">
      <w:pPr>
        <w:pStyle w:val="Ttulo1"/>
        <w:spacing w:before="0"/>
        <w:jc w:val="center"/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</w:pPr>
      <w:bookmarkStart w:id="9" w:name="_Toc132727309"/>
      <w:r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lastRenderedPageBreak/>
        <w:t>T</w:t>
      </w:r>
      <w:r w:rsidR="006D7CFE"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>í</w:t>
      </w:r>
      <w:r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>tulo Segundo</w:t>
      </w:r>
      <w:bookmarkEnd w:id="9"/>
    </w:p>
    <w:p w14:paraId="6EF353E9" w14:textId="77777777" w:rsidR="00300A46" w:rsidRPr="00BC2278" w:rsidRDefault="0011560C" w:rsidP="00692572">
      <w:pPr>
        <w:pStyle w:val="Ttulo1"/>
        <w:spacing w:before="0"/>
        <w:jc w:val="center"/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</w:pPr>
      <w:bookmarkStart w:id="10" w:name="_Toc132727310"/>
      <w:r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 xml:space="preserve">De los estudios </w:t>
      </w:r>
      <w:r w:rsidR="00160686"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 xml:space="preserve">de pertinencia </w:t>
      </w:r>
      <w:r w:rsidR="00022226"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>y</w:t>
      </w:r>
      <w:r w:rsidR="00160686"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 xml:space="preserve"> efectividad</w:t>
      </w:r>
      <w:bookmarkEnd w:id="10"/>
      <w:r w:rsidR="00160686"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 xml:space="preserve"> </w:t>
      </w:r>
    </w:p>
    <w:p w14:paraId="1567C91F" w14:textId="502678C1" w:rsidR="00160686" w:rsidRPr="00BC2278" w:rsidRDefault="00160686" w:rsidP="00692572">
      <w:pPr>
        <w:pStyle w:val="Ttulo1"/>
        <w:spacing w:before="0"/>
        <w:jc w:val="center"/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</w:pPr>
      <w:bookmarkStart w:id="11" w:name="_Toc132727311"/>
      <w:r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>de las Campañas de Comunicación Social del Instituto</w:t>
      </w:r>
      <w:bookmarkEnd w:id="11"/>
    </w:p>
    <w:p w14:paraId="1E067D2C" w14:textId="77777777" w:rsidR="00692572" w:rsidRPr="00BC2278" w:rsidRDefault="00692572" w:rsidP="00692572"/>
    <w:p w14:paraId="4E643ED6" w14:textId="3E73D43F" w:rsidR="00160686" w:rsidRPr="00BC2278" w:rsidRDefault="00160686" w:rsidP="00816960">
      <w:pPr>
        <w:pStyle w:val="Ttulo2"/>
        <w:jc w:val="center"/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</w:pPr>
      <w:bookmarkStart w:id="12" w:name="_Toc132727312"/>
      <w:r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>Cap</w:t>
      </w:r>
      <w:r w:rsidR="006D7CFE"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>í</w:t>
      </w:r>
      <w:r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>tulo</w:t>
      </w:r>
      <w:r w:rsidR="0011560C"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 xml:space="preserve"> primero</w:t>
      </w:r>
      <w:bookmarkEnd w:id="12"/>
    </w:p>
    <w:p w14:paraId="5A13900C" w14:textId="210735EA" w:rsidR="00160686" w:rsidRPr="00BC2278" w:rsidRDefault="0011560C" w:rsidP="00816960">
      <w:pPr>
        <w:pStyle w:val="Ttulo2"/>
        <w:jc w:val="center"/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</w:pPr>
      <w:bookmarkStart w:id="13" w:name="_Toc132727313"/>
      <w:r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 xml:space="preserve">De los estudios </w:t>
      </w:r>
      <w:r w:rsidR="004901C3"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>de pertinencia</w:t>
      </w:r>
      <w:bookmarkEnd w:id="13"/>
      <w:r w:rsidR="004901C3"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 xml:space="preserve"> </w:t>
      </w:r>
    </w:p>
    <w:p w14:paraId="31C8604D" w14:textId="77777777" w:rsidR="00816960" w:rsidRPr="00BC2278" w:rsidRDefault="00816960" w:rsidP="00816960"/>
    <w:p w14:paraId="107ED8D1" w14:textId="7058441A" w:rsidR="00342D01" w:rsidRPr="00BC2278" w:rsidRDefault="00276D72" w:rsidP="00AE2EE1">
      <w:pPr>
        <w:tabs>
          <w:tab w:val="left" w:pos="284"/>
        </w:tabs>
        <w:jc w:val="both"/>
        <w:rPr>
          <w:rFonts w:ascii="Gothic720 BT" w:hAnsi="Gothic720 BT"/>
        </w:rPr>
      </w:pPr>
      <w:bookmarkStart w:id="14" w:name="_Hlk132013219"/>
      <w:r w:rsidRPr="00BC2278">
        <w:rPr>
          <w:rFonts w:ascii="Gothic720 BT" w:hAnsi="Gothic720 BT"/>
          <w:b/>
          <w:bCs/>
        </w:rPr>
        <w:t xml:space="preserve">Artículo </w:t>
      </w:r>
      <w:r w:rsidR="006C6C61" w:rsidRPr="00BC2278">
        <w:rPr>
          <w:rFonts w:ascii="Gothic720 BT" w:hAnsi="Gothic720 BT"/>
          <w:b/>
          <w:bCs/>
        </w:rPr>
        <w:t>6</w:t>
      </w:r>
      <w:r w:rsidRPr="00BC2278">
        <w:rPr>
          <w:rFonts w:ascii="Gothic720 BT" w:hAnsi="Gothic720 BT"/>
          <w:b/>
          <w:bCs/>
        </w:rPr>
        <w:t xml:space="preserve">. </w:t>
      </w:r>
      <w:bookmarkEnd w:id="14"/>
      <w:r w:rsidR="00342D01" w:rsidRPr="00BC2278">
        <w:rPr>
          <w:rFonts w:ascii="Gothic720 BT" w:hAnsi="Gothic720 BT"/>
        </w:rPr>
        <w:t xml:space="preserve">Los estudios de pertinencia tienen carácter </w:t>
      </w:r>
      <w:r w:rsidR="001C1397" w:rsidRPr="00BC2278">
        <w:rPr>
          <w:rFonts w:ascii="Gothic720 BT" w:hAnsi="Gothic720 BT"/>
        </w:rPr>
        <w:t>cua</w:t>
      </w:r>
      <w:r w:rsidR="00A943E7" w:rsidRPr="00BC2278">
        <w:rPr>
          <w:rFonts w:ascii="Gothic720 BT" w:hAnsi="Gothic720 BT"/>
        </w:rPr>
        <w:t>litativo</w:t>
      </w:r>
      <w:r w:rsidR="000C2AED" w:rsidRPr="00BC2278">
        <w:rPr>
          <w:rFonts w:ascii="Gothic720 BT" w:hAnsi="Gothic720 BT"/>
        </w:rPr>
        <w:t xml:space="preserve"> </w:t>
      </w:r>
      <w:r w:rsidR="00181EF3" w:rsidRPr="00BC2278">
        <w:rPr>
          <w:rFonts w:ascii="Gothic720 BT" w:hAnsi="Gothic720 BT"/>
        </w:rPr>
        <w:t xml:space="preserve">y </w:t>
      </w:r>
      <w:r w:rsidR="00342D01" w:rsidRPr="00BC2278">
        <w:rPr>
          <w:rFonts w:ascii="Gothic720 BT" w:hAnsi="Gothic720 BT"/>
        </w:rPr>
        <w:t xml:space="preserve">deben de realizarse de </w:t>
      </w:r>
      <w:r w:rsidR="006107C3" w:rsidRPr="00BC2278">
        <w:rPr>
          <w:rFonts w:ascii="Gothic720 BT" w:hAnsi="Gothic720 BT"/>
        </w:rPr>
        <w:t>manera</w:t>
      </w:r>
      <w:r w:rsidR="00342D01" w:rsidRPr="00BC2278">
        <w:rPr>
          <w:rFonts w:ascii="Gothic720 BT" w:hAnsi="Gothic720 BT"/>
        </w:rPr>
        <w:t xml:space="preserve"> previa a la </w:t>
      </w:r>
      <w:r w:rsidR="006107C3" w:rsidRPr="00BC2278">
        <w:rPr>
          <w:rFonts w:ascii="Gothic720 BT" w:hAnsi="Gothic720 BT"/>
        </w:rPr>
        <w:t>ejecución</w:t>
      </w:r>
      <w:r w:rsidR="00342D01" w:rsidRPr="00BC2278">
        <w:rPr>
          <w:rFonts w:ascii="Gothic720 BT" w:hAnsi="Gothic720 BT"/>
        </w:rPr>
        <w:t xml:space="preserve"> de las Campañas de Comunicación Social </w:t>
      </w:r>
      <w:r w:rsidR="006107C3" w:rsidRPr="00BC2278">
        <w:rPr>
          <w:rFonts w:ascii="Gothic720 BT" w:hAnsi="Gothic720 BT"/>
        </w:rPr>
        <w:t>que apruebe</w:t>
      </w:r>
      <w:r w:rsidR="00342D01" w:rsidRPr="00BC2278">
        <w:rPr>
          <w:rFonts w:ascii="Gothic720 BT" w:hAnsi="Gothic720 BT"/>
        </w:rPr>
        <w:t xml:space="preserve"> el Comité Administrador.</w:t>
      </w:r>
      <w:r w:rsidR="00C553D5" w:rsidRPr="00BC2278">
        <w:rPr>
          <w:rFonts w:ascii="Gothic720 BT" w:hAnsi="Gothic720 BT"/>
        </w:rPr>
        <w:t xml:space="preserve"> </w:t>
      </w:r>
    </w:p>
    <w:p w14:paraId="765ED494" w14:textId="3FAE6101" w:rsidR="00181EF3" w:rsidRPr="00BC2278" w:rsidRDefault="002370D6" w:rsidP="00AE2EE1">
      <w:pPr>
        <w:tabs>
          <w:tab w:val="left" w:pos="284"/>
        </w:tabs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 xml:space="preserve">Artículo </w:t>
      </w:r>
      <w:r w:rsidR="006C6C61" w:rsidRPr="00BC2278">
        <w:rPr>
          <w:rFonts w:ascii="Gothic720 BT" w:hAnsi="Gothic720 BT"/>
          <w:b/>
          <w:bCs/>
        </w:rPr>
        <w:t>7</w:t>
      </w:r>
      <w:r w:rsidRPr="00BC2278">
        <w:rPr>
          <w:rFonts w:ascii="Gothic720 BT" w:hAnsi="Gothic720 BT"/>
        </w:rPr>
        <w:t xml:space="preserve">. </w:t>
      </w:r>
      <w:r w:rsidR="001B7240" w:rsidRPr="00BC2278">
        <w:rPr>
          <w:rFonts w:ascii="Gothic720 BT" w:hAnsi="Gothic720 BT"/>
        </w:rPr>
        <w:t xml:space="preserve">Los estudios </w:t>
      </w:r>
      <w:r w:rsidR="00BE32D1" w:rsidRPr="00BC2278">
        <w:rPr>
          <w:rFonts w:ascii="Gothic720 BT" w:hAnsi="Gothic720 BT"/>
        </w:rPr>
        <w:t>de pertinencia</w:t>
      </w:r>
      <w:r w:rsidR="001B7240" w:rsidRPr="00BC2278">
        <w:rPr>
          <w:rFonts w:ascii="Gothic720 BT" w:hAnsi="Gothic720 BT"/>
        </w:rPr>
        <w:t xml:space="preserve"> deben verificar que las Campañas de Comunicación Social se apeguen a lo establecido </w:t>
      </w:r>
      <w:r w:rsidR="00FA31EB" w:rsidRPr="00BC2278">
        <w:rPr>
          <w:rFonts w:ascii="Gothic720 BT" w:hAnsi="Gothic720 BT"/>
        </w:rPr>
        <w:t>por</w:t>
      </w:r>
      <w:r w:rsidR="00D762AA" w:rsidRPr="00BC2278">
        <w:rPr>
          <w:rFonts w:ascii="Gothic720 BT" w:hAnsi="Gothic720 BT"/>
        </w:rPr>
        <w:t xml:space="preserve"> </w:t>
      </w:r>
      <w:r w:rsidR="001B7240" w:rsidRPr="00BC2278">
        <w:rPr>
          <w:rFonts w:ascii="Gothic720 BT" w:hAnsi="Gothic720 BT"/>
        </w:rPr>
        <w:t>la Ley General</w:t>
      </w:r>
      <w:r w:rsidR="00444070" w:rsidRPr="00BC2278">
        <w:rPr>
          <w:rFonts w:ascii="Gothic720 BT" w:hAnsi="Gothic720 BT"/>
        </w:rPr>
        <w:t xml:space="preserve">, así como a las atribuciones y facultades </w:t>
      </w:r>
      <w:r w:rsidR="00EB330B" w:rsidRPr="00BC2278">
        <w:rPr>
          <w:rFonts w:ascii="Gothic720 BT" w:hAnsi="Gothic720 BT"/>
        </w:rPr>
        <w:t>del Instituto previstas</w:t>
      </w:r>
      <w:r w:rsidR="00444070" w:rsidRPr="00BC2278">
        <w:rPr>
          <w:rFonts w:ascii="Gothic720 BT" w:hAnsi="Gothic720 BT"/>
        </w:rPr>
        <w:t xml:space="preserve"> en la Ley General de Instituciones </w:t>
      </w:r>
      <w:r w:rsidR="00D762AA" w:rsidRPr="00BC2278">
        <w:rPr>
          <w:rFonts w:ascii="Gothic720 BT" w:hAnsi="Gothic720 BT"/>
        </w:rPr>
        <w:t xml:space="preserve">y </w:t>
      </w:r>
      <w:r w:rsidR="001B7240" w:rsidRPr="00BC2278">
        <w:rPr>
          <w:rFonts w:ascii="Gothic720 BT" w:hAnsi="Gothic720 BT"/>
        </w:rPr>
        <w:t>la Ley Electoral</w:t>
      </w:r>
      <w:r w:rsidR="00D31069" w:rsidRPr="00BC2278">
        <w:rPr>
          <w:rFonts w:ascii="Gothic720 BT" w:hAnsi="Gothic720 BT"/>
        </w:rPr>
        <w:t xml:space="preserve">; </w:t>
      </w:r>
      <w:r w:rsidR="00181EF3" w:rsidRPr="00BC2278">
        <w:rPr>
          <w:rFonts w:ascii="Gothic720 BT" w:hAnsi="Gothic720 BT"/>
        </w:rPr>
        <w:t xml:space="preserve">deben permitir conocer </w:t>
      </w:r>
      <w:r w:rsidR="002C74D8" w:rsidRPr="00BC2278">
        <w:rPr>
          <w:rFonts w:ascii="Gothic720 BT" w:hAnsi="Gothic720 BT"/>
        </w:rPr>
        <w:t xml:space="preserve">al menos </w:t>
      </w:r>
      <w:r w:rsidR="00181EF3" w:rsidRPr="00BC2278">
        <w:rPr>
          <w:rFonts w:ascii="Gothic720 BT" w:hAnsi="Gothic720 BT"/>
        </w:rPr>
        <w:t>el impacto, comprensión y grado de aceptación que t</w:t>
      </w:r>
      <w:r w:rsidR="00326CB6" w:rsidRPr="00BC2278">
        <w:rPr>
          <w:rFonts w:ascii="Gothic720 BT" w:hAnsi="Gothic720 BT"/>
        </w:rPr>
        <w:t>enga</w:t>
      </w:r>
      <w:r w:rsidR="00181EF3" w:rsidRPr="00BC2278">
        <w:rPr>
          <w:rFonts w:ascii="Gothic720 BT" w:hAnsi="Gothic720 BT"/>
        </w:rPr>
        <w:t xml:space="preserve"> entre el público objetivo la propuesta de Campaña de Comunicación Social</w:t>
      </w:r>
      <w:r w:rsidR="00F61CFD" w:rsidRPr="00BC2278">
        <w:rPr>
          <w:rFonts w:ascii="Gothic720 BT" w:hAnsi="Gothic720 BT"/>
        </w:rPr>
        <w:t xml:space="preserve">. </w:t>
      </w:r>
    </w:p>
    <w:p w14:paraId="5A86E147" w14:textId="17A21056" w:rsidR="00151050" w:rsidRPr="00BC2278" w:rsidRDefault="00151050" w:rsidP="00151050">
      <w:pPr>
        <w:tabs>
          <w:tab w:val="left" w:pos="284"/>
        </w:tabs>
        <w:jc w:val="both"/>
        <w:rPr>
          <w:rFonts w:ascii="Gothic720 BT" w:hAnsi="Gothic720 BT"/>
        </w:rPr>
      </w:pPr>
      <w:r w:rsidRPr="00BC2278">
        <w:rPr>
          <w:rFonts w:ascii="Gothic720 BT" w:hAnsi="Gothic720 BT"/>
        </w:rPr>
        <w:t xml:space="preserve">Los estudios de pertinencia se realizarán </w:t>
      </w:r>
      <w:r w:rsidR="00332745" w:rsidRPr="00BC2278">
        <w:rPr>
          <w:rFonts w:ascii="Gothic720 BT" w:hAnsi="Gothic720 BT"/>
        </w:rPr>
        <w:t xml:space="preserve">cuando así lo determine </w:t>
      </w:r>
      <w:r w:rsidRPr="00BC2278">
        <w:rPr>
          <w:rFonts w:ascii="Gothic720 BT" w:hAnsi="Gothic720 BT"/>
        </w:rPr>
        <w:t>el Comité Administrador</w:t>
      </w:r>
      <w:r w:rsidR="00332745" w:rsidRPr="00BC2278">
        <w:rPr>
          <w:rFonts w:ascii="Gothic720 BT" w:hAnsi="Gothic720 BT"/>
        </w:rPr>
        <w:t xml:space="preserve">; </w:t>
      </w:r>
      <w:r w:rsidRPr="00BC2278">
        <w:rPr>
          <w:rFonts w:ascii="Gothic720 BT" w:hAnsi="Gothic720 BT"/>
        </w:rPr>
        <w:t>para su realización se deberá prever el tiempo que permita llevar a cabo su análisis y conclusiones, así como para realizar, en su caso, adecuaciones a la Campaña de Comunicación Social, así como el desahogo del procedimiento de contratación de servicios de conformidad con la legislación aplicable.</w:t>
      </w:r>
    </w:p>
    <w:p w14:paraId="11E9D3E6" w14:textId="0A2F62BE" w:rsidR="00984667" w:rsidRPr="00BC2278" w:rsidRDefault="00CF1FD5" w:rsidP="00984667">
      <w:pPr>
        <w:tabs>
          <w:tab w:val="left" w:pos="284"/>
        </w:tabs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 xml:space="preserve">Artículo </w:t>
      </w:r>
      <w:r w:rsidR="006C6C61" w:rsidRPr="00BC2278">
        <w:rPr>
          <w:rFonts w:ascii="Gothic720 BT" w:hAnsi="Gothic720 BT"/>
          <w:b/>
          <w:bCs/>
        </w:rPr>
        <w:t>8</w:t>
      </w:r>
      <w:r w:rsidRPr="00BC2278">
        <w:rPr>
          <w:rFonts w:ascii="Gothic720 BT" w:hAnsi="Gothic720 BT"/>
          <w:b/>
          <w:bCs/>
        </w:rPr>
        <w:t>.</w:t>
      </w:r>
      <w:r w:rsidRPr="00BC2278">
        <w:rPr>
          <w:rFonts w:ascii="Gothic720 BT" w:hAnsi="Gothic720 BT"/>
        </w:rPr>
        <w:t xml:space="preserve"> </w:t>
      </w:r>
      <w:r w:rsidR="00D77DEF" w:rsidRPr="00BC2278">
        <w:rPr>
          <w:rFonts w:ascii="Gothic720 BT" w:hAnsi="Gothic720 BT"/>
        </w:rPr>
        <w:t>E</w:t>
      </w:r>
      <w:r w:rsidR="00576281" w:rsidRPr="00BC2278">
        <w:rPr>
          <w:rFonts w:ascii="Gothic720 BT" w:hAnsi="Gothic720 BT"/>
        </w:rPr>
        <w:t>l Instituto</w:t>
      </w:r>
      <w:r w:rsidR="00EE3F81" w:rsidRPr="00BC2278">
        <w:rPr>
          <w:rFonts w:ascii="Gothic720 BT" w:hAnsi="Gothic720 BT"/>
        </w:rPr>
        <w:t xml:space="preserve"> </w:t>
      </w:r>
      <w:r w:rsidR="000D5A07" w:rsidRPr="00BC2278">
        <w:rPr>
          <w:rFonts w:ascii="Gothic720 BT" w:hAnsi="Gothic720 BT"/>
        </w:rPr>
        <w:t xml:space="preserve">elaborará </w:t>
      </w:r>
      <w:r w:rsidR="00EE3F81" w:rsidRPr="00BC2278">
        <w:rPr>
          <w:rFonts w:ascii="Gothic720 BT" w:hAnsi="Gothic720 BT"/>
        </w:rPr>
        <w:t xml:space="preserve">los instrumentos jurídicos o mecanismos necesarios con el fin de establecer los criterios </w:t>
      </w:r>
      <w:r w:rsidR="005609FF" w:rsidRPr="00BC2278">
        <w:rPr>
          <w:rFonts w:ascii="Gothic720 BT" w:hAnsi="Gothic720 BT"/>
        </w:rPr>
        <w:t xml:space="preserve">de </w:t>
      </w:r>
      <w:r w:rsidR="00576281" w:rsidRPr="00BC2278">
        <w:rPr>
          <w:rFonts w:ascii="Gothic720 BT" w:hAnsi="Gothic720 BT"/>
        </w:rPr>
        <w:t xml:space="preserve">vinculación y </w:t>
      </w:r>
      <w:r w:rsidR="00EE3F81" w:rsidRPr="00BC2278">
        <w:rPr>
          <w:rFonts w:ascii="Gothic720 BT" w:hAnsi="Gothic720 BT"/>
        </w:rPr>
        <w:t>coordinación interinstitucional</w:t>
      </w:r>
      <w:r w:rsidR="00D77DEF" w:rsidRPr="00BC2278">
        <w:rPr>
          <w:rFonts w:ascii="Gothic720 BT" w:hAnsi="Gothic720 BT"/>
        </w:rPr>
        <w:t xml:space="preserve"> cuando la Campaña de Comunicación Social requiera de la emisión de opiniones técnicas de entes públicos especializados o con objetivos afines a la materia de que se trate</w:t>
      </w:r>
      <w:r w:rsidR="00181EF3" w:rsidRPr="00BC2278">
        <w:rPr>
          <w:rFonts w:ascii="Gothic720 BT" w:hAnsi="Gothic720 BT"/>
        </w:rPr>
        <w:t xml:space="preserve">, conforme lo determine el Comité Administrador. </w:t>
      </w:r>
    </w:p>
    <w:p w14:paraId="13B9E403" w14:textId="3DAB7761" w:rsidR="008564A0" w:rsidRPr="00BC2278" w:rsidRDefault="00555F6E" w:rsidP="00E66B87">
      <w:pPr>
        <w:tabs>
          <w:tab w:val="left" w:pos="284"/>
        </w:tabs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 xml:space="preserve">Artículo </w:t>
      </w:r>
      <w:r w:rsidR="006C6C61" w:rsidRPr="00BC2278">
        <w:rPr>
          <w:rFonts w:ascii="Gothic720 BT" w:hAnsi="Gothic720 BT"/>
          <w:b/>
          <w:bCs/>
        </w:rPr>
        <w:t>9</w:t>
      </w:r>
      <w:r w:rsidRPr="00BC2278">
        <w:rPr>
          <w:rFonts w:ascii="Gothic720 BT" w:hAnsi="Gothic720 BT"/>
        </w:rPr>
        <w:t xml:space="preserve">. </w:t>
      </w:r>
      <w:r w:rsidR="008564A0" w:rsidRPr="00BC2278">
        <w:rPr>
          <w:rFonts w:ascii="Gothic720 BT" w:hAnsi="Gothic720 BT"/>
        </w:rPr>
        <w:t>Una vez concluido</w:t>
      </w:r>
      <w:r w:rsidR="00D342DB" w:rsidRPr="00BC2278">
        <w:rPr>
          <w:rFonts w:ascii="Gothic720 BT" w:hAnsi="Gothic720 BT"/>
        </w:rPr>
        <w:t xml:space="preserve"> </w:t>
      </w:r>
      <w:r w:rsidR="007170C4" w:rsidRPr="00BC2278">
        <w:rPr>
          <w:rFonts w:ascii="Gothic720 BT" w:hAnsi="Gothic720 BT"/>
        </w:rPr>
        <w:t xml:space="preserve">el estudio </w:t>
      </w:r>
      <w:r w:rsidR="002110C2" w:rsidRPr="00BC2278">
        <w:rPr>
          <w:rFonts w:ascii="Gothic720 BT" w:hAnsi="Gothic720 BT"/>
        </w:rPr>
        <w:t>deberá remitirse</w:t>
      </w:r>
      <w:r w:rsidR="008564A0" w:rsidRPr="00BC2278">
        <w:rPr>
          <w:rFonts w:ascii="Gothic720 BT" w:hAnsi="Gothic720 BT"/>
        </w:rPr>
        <w:t xml:space="preserve"> al Co</w:t>
      </w:r>
      <w:r w:rsidR="00202187" w:rsidRPr="00BC2278">
        <w:rPr>
          <w:rFonts w:ascii="Gothic720 BT" w:hAnsi="Gothic720 BT"/>
        </w:rPr>
        <w:t>mité Administrador</w:t>
      </w:r>
      <w:r w:rsidR="008564A0" w:rsidRPr="00BC2278">
        <w:rPr>
          <w:rFonts w:ascii="Gothic720 BT" w:hAnsi="Gothic720 BT"/>
        </w:rPr>
        <w:t>,</w:t>
      </w:r>
      <w:r w:rsidR="00202187" w:rsidRPr="00BC2278">
        <w:rPr>
          <w:rFonts w:ascii="Gothic720 BT" w:hAnsi="Gothic720 BT"/>
        </w:rPr>
        <w:t xml:space="preserve"> </w:t>
      </w:r>
      <w:r w:rsidR="008564A0" w:rsidRPr="00BC2278">
        <w:rPr>
          <w:rFonts w:ascii="Gothic720 BT" w:hAnsi="Gothic720 BT"/>
        </w:rPr>
        <w:t>a fin de que éste determine lo conducente.</w:t>
      </w:r>
    </w:p>
    <w:p w14:paraId="2E616080" w14:textId="6AF1616F" w:rsidR="0011560C" w:rsidRPr="00BC2278" w:rsidRDefault="0011560C" w:rsidP="005F07DD">
      <w:pPr>
        <w:pStyle w:val="Ttulo2"/>
        <w:jc w:val="center"/>
        <w:rPr>
          <w:rFonts w:ascii="Gothic720 BT" w:hAnsi="Gothic720 BT"/>
          <w:b/>
          <w:bCs/>
          <w:color w:val="auto"/>
          <w:sz w:val="22"/>
          <w:szCs w:val="22"/>
        </w:rPr>
      </w:pPr>
      <w:bookmarkStart w:id="15" w:name="_Toc132727314"/>
      <w:r w:rsidRPr="00BC2278">
        <w:rPr>
          <w:rFonts w:ascii="Gothic720 BT" w:hAnsi="Gothic720 BT"/>
          <w:b/>
          <w:bCs/>
          <w:color w:val="auto"/>
          <w:sz w:val="22"/>
          <w:szCs w:val="22"/>
        </w:rPr>
        <w:t>Cap</w:t>
      </w:r>
      <w:r w:rsidR="006D7CFE" w:rsidRPr="00BC2278">
        <w:rPr>
          <w:rFonts w:ascii="Gothic720 BT" w:hAnsi="Gothic720 BT"/>
          <w:b/>
          <w:bCs/>
          <w:color w:val="auto"/>
          <w:sz w:val="22"/>
          <w:szCs w:val="22"/>
        </w:rPr>
        <w:t>í</w:t>
      </w:r>
      <w:r w:rsidRPr="00BC2278">
        <w:rPr>
          <w:rFonts w:ascii="Gothic720 BT" w:hAnsi="Gothic720 BT"/>
          <w:b/>
          <w:bCs/>
          <w:color w:val="auto"/>
          <w:sz w:val="22"/>
          <w:szCs w:val="22"/>
        </w:rPr>
        <w:t>tulo segundo</w:t>
      </w:r>
      <w:bookmarkEnd w:id="15"/>
    </w:p>
    <w:p w14:paraId="589C25A3" w14:textId="2CAC178B" w:rsidR="0011560C" w:rsidRPr="00BC2278" w:rsidRDefault="0011560C" w:rsidP="005F07DD">
      <w:pPr>
        <w:pStyle w:val="Ttulo2"/>
        <w:jc w:val="center"/>
        <w:rPr>
          <w:rFonts w:ascii="Gothic720 BT" w:hAnsi="Gothic720 BT"/>
          <w:b/>
          <w:bCs/>
          <w:color w:val="auto"/>
          <w:sz w:val="22"/>
          <w:szCs w:val="22"/>
        </w:rPr>
      </w:pPr>
      <w:bookmarkStart w:id="16" w:name="_Toc132727315"/>
      <w:r w:rsidRPr="00BC2278">
        <w:rPr>
          <w:rFonts w:ascii="Gothic720 BT" w:hAnsi="Gothic720 BT"/>
          <w:b/>
          <w:bCs/>
          <w:color w:val="auto"/>
          <w:sz w:val="22"/>
          <w:szCs w:val="22"/>
        </w:rPr>
        <w:t>De los estudios de efectividad</w:t>
      </w:r>
      <w:bookmarkEnd w:id="16"/>
      <w:r w:rsidRPr="00BC2278">
        <w:rPr>
          <w:rFonts w:ascii="Gothic720 BT" w:hAnsi="Gothic720 BT"/>
          <w:b/>
          <w:bCs/>
          <w:color w:val="auto"/>
          <w:sz w:val="22"/>
          <w:szCs w:val="22"/>
        </w:rPr>
        <w:t xml:space="preserve"> </w:t>
      </w:r>
    </w:p>
    <w:p w14:paraId="6639B018" w14:textId="77777777" w:rsidR="00E66B87" w:rsidRPr="00BC2278" w:rsidRDefault="00E66B87" w:rsidP="00E66B87">
      <w:pPr>
        <w:tabs>
          <w:tab w:val="left" w:pos="284"/>
        </w:tabs>
        <w:spacing w:after="0"/>
        <w:jc w:val="center"/>
        <w:rPr>
          <w:rFonts w:ascii="Gothic720 BT" w:hAnsi="Gothic720 BT"/>
          <w:b/>
          <w:bCs/>
        </w:rPr>
      </w:pPr>
    </w:p>
    <w:p w14:paraId="12814C5E" w14:textId="1C98D424" w:rsidR="00E66B87" w:rsidRPr="00BC2278" w:rsidRDefault="00E66B87" w:rsidP="0011560C">
      <w:pPr>
        <w:tabs>
          <w:tab w:val="left" w:pos="284"/>
        </w:tabs>
        <w:jc w:val="both"/>
        <w:rPr>
          <w:rFonts w:ascii="Gothic720 BT" w:hAnsi="Gothic720 BT"/>
        </w:rPr>
      </w:pPr>
      <w:bookmarkStart w:id="17" w:name="_Hlk132012633"/>
      <w:r w:rsidRPr="00BC2278">
        <w:rPr>
          <w:rFonts w:ascii="Gothic720 BT" w:hAnsi="Gothic720 BT"/>
          <w:b/>
          <w:bCs/>
        </w:rPr>
        <w:t xml:space="preserve">Artículo </w:t>
      </w:r>
      <w:r w:rsidR="006C6C61" w:rsidRPr="00BC2278">
        <w:rPr>
          <w:rFonts w:ascii="Gothic720 BT" w:hAnsi="Gothic720 BT"/>
          <w:b/>
          <w:bCs/>
        </w:rPr>
        <w:t>10</w:t>
      </w:r>
      <w:r w:rsidRPr="00BC2278">
        <w:rPr>
          <w:rFonts w:ascii="Gothic720 BT" w:hAnsi="Gothic720 BT"/>
          <w:b/>
          <w:bCs/>
        </w:rPr>
        <w:t xml:space="preserve">. </w:t>
      </w:r>
      <w:r w:rsidR="00342D01" w:rsidRPr="00BC2278">
        <w:rPr>
          <w:rFonts w:ascii="Gothic720 BT" w:hAnsi="Gothic720 BT"/>
        </w:rPr>
        <w:t>Los estudios de efectividad tienen carácter cuantitativo</w:t>
      </w:r>
      <w:r w:rsidR="00F548D4" w:rsidRPr="00BC2278">
        <w:rPr>
          <w:rFonts w:ascii="Gothic720 BT" w:hAnsi="Gothic720 BT"/>
        </w:rPr>
        <w:t xml:space="preserve"> y cualitativo</w:t>
      </w:r>
      <w:r w:rsidR="00342D01" w:rsidRPr="00BC2278">
        <w:rPr>
          <w:rFonts w:ascii="Gothic720 BT" w:hAnsi="Gothic720 BT"/>
        </w:rPr>
        <w:t xml:space="preserve"> y deben realizarse de </w:t>
      </w:r>
      <w:r w:rsidR="007170C4" w:rsidRPr="00BC2278">
        <w:rPr>
          <w:rFonts w:ascii="Gothic720 BT" w:hAnsi="Gothic720 BT"/>
        </w:rPr>
        <w:t>manera</w:t>
      </w:r>
      <w:r w:rsidR="00342D01" w:rsidRPr="00BC2278">
        <w:rPr>
          <w:rFonts w:ascii="Gothic720 BT" w:hAnsi="Gothic720 BT"/>
        </w:rPr>
        <w:t xml:space="preserve"> posterior a la </w:t>
      </w:r>
      <w:r w:rsidR="007170C4" w:rsidRPr="00BC2278">
        <w:rPr>
          <w:rFonts w:ascii="Gothic720 BT" w:hAnsi="Gothic720 BT"/>
        </w:rPr>
        <w:t>ejecución</w:t>
      </w:r>
      <w:r w:rsidR="00342D01" w:rsidRPr="00BC2278">
        <w:rPr>
          <w:rFonts w:ascii="Gothic720 BT" w:hAnsi="Gothic720 BT"/>
        </w:rPr>
        <w:t xml:space="preserve"> de las Campañas de Comunicación Social aprobadas por el Comité Administrador.</w:t>
      </w:r>
      <w:r w:rsidR="007170C4" w:rsidRPr="00BC2278">
        <w:rPr>
          <w:rFonts w:ascii="Gothic720 BT" w:hAnsi="Gothic720 BT"/>
        </w:rPr>
        <w:t xml:space="preserve"> </w:t>
      </w:r>
    </w:p>
    <w:p w14:paraId="19E1DEBE" w14:textId="2AC23796" w:rsidR="00E4377A" w:rsidRPr="00BC2278" w:rsidRDefault="00E4377A" w:rsidP="00E4377A">
      <w:pPr>
        <w:tabs>
          <w:tab w:val="left" w:pos="284"/>
        </w:tabs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>Artículo 1</w:t>
      </w:r>
      <w:r w:rsidR="006C6C61" w:rsidRPr="00BC2278">
        <w:rPr>
          <w:rFonts w:ascii="Gothic720 BT" w:hAnsi="Gothic720 BT"/>
          <w:b/>
          <w:bCs/>
        </w:rPr>
        <w:t>1</w:t>
      </w:r>
      <w:r w:rsidRPr="00BC2278">
        <w:rPr>
          <w:rFonts w:ascii="Gothic720 BT" w:hAnsi="Gothic720 BT"/>
          <w:b/>
          <w:bCs/>
        </w:rPr>
        <w:t>.</w:t>
      </w:r>
      <w:r w:rsidRPr="00BC2278">
        <w:rPr>
          <w:rFonts w:ascii="Gothic720 BT" w:hAnsi="Gothic720 BT"/>
        </w:rPr>
        <w:t xml:space="preserve"> Los estudios de efectividad deben medir el grado de cumplimiento de los objetivos y metas de comunicación alcanzadas, así como el impacto de la </w:t>
      </w:r>
      <w:r w:rsidR="001C4036" w:rsidRPr="00BC2278">
        <w:rPr>
          <w:rFonts w:ascii="Gothic720 BT" w:hAnsi="Gothic720 BT"/>
        </w:rPr>
        <w:t xml:space="preserve">Campaña de Comunicación Social </w:t>
      </w:r>
      <w:r w:rsidRPr="00BC2278">
        <w:rPr>
          <w:rFonts w:ascii="Gothic720 BT" w:hAnsi="Gothic720 BT"/>
        </w:rPr>
        <w:t>difundida entre la población objetivo</w:t>
      </w:r>
      <w:r w:rsidR="001C4036" w:rsidRPr="00BC2278">
        <w:rPr>
          <w:rFonts w:ascii="Gothic720 BT" w:hAnsi="Gothic720 BT"/>
        </w:rPr>
        <w:t xml:space="preserve">. </w:t>
      </w:r>
    </w:p>
    <w:bookmarkEnd w:id="17"/>
    <w:p w14:paraId="32DCCE72" w14:textId="17444FAF" w:rsidR="00B22249" w:rsidRPr="00BC2278" w:rsidRDefault="00B22249" w:rsidP="005F07DD">
      <w:pPr>
        <w:tabs>
          <w:tab w:val="left" w:pos="284"/>
        </w:tabs>
        <w:spacing w:before="240"/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>Artículo 1</w:t>
      </w:r>
      <w:r w:rsidR="006C6C61" w:rsidRPr="00BC2278">
        <w:rPr>
          <w:rFonts w:ascii="Gothic720 BT" w:hAnsi="Gothic720 BT"/>
          <w:b/>
          <w:bCs/>
        </w:rPr>
        <w:t>2</w:t>
      </w:r>
      <w:r w:rsidRPr="00BC2278">
        <w:rPr>
          <w:rFonts w:ascii="Gothic720 BT" w:hAnsi="Gothic720 BT"/>
          <w:b/>
          <w:bCs/>
        </w:rPr>
        <w:t>.</w:t>
      </w:r>
      <w:r w:rsidRPr="00BC2278">
        <w:rPr>
          <w:rFonts w:ascii="Gothic720 BT" w:hAnsi="Gothic720 BT"/>
        </w:rPr>
        <w:t xml:space="preserve"> </w:t>
      </w:r>
      <w:r w:rsidR="006D7CFE" w:rsidRPr="00BC2278">
        <w:rPr>
          <w:rFonts w:ascii="Gothic720 BT" w:hAnsi="Gothic720 BT"/>
        </w:rPr>
        <w:t>Los estudios de efectividad se realizarán</w:t>
      </w:r>
      <w:r w:rsidR="00332745" w:rsidRPr="00BC2278">
        <w:rPr>
          <w:rFonts w:ascii="Gothic720 BT" w:hAnsi="Gothic720 BT"/>
        </w:rPr>
        <w:t xml:space="preserve"> cuando así lo determine el Comité Administrador, en cuyo caso se llevarán a cabo u</w:t>
      </w:r>
      <w:r w:rsidR="006D7CFE" w:rsidRPr="00BC2278">
        <w:rPr>
          <w:rFonts w:ascii="Gothic720 BT" w:hAnsi="Gothic720 BT"/>
        </w:rPr>
        <w:t>n tiempo no mayor a cuatro semanas posteriores a la conclusión de la Campaña de Comunicación Social.</w:t>
      </w:r>
    </w:p>
    <w:p w14:paraId="2407D8E8" w14:textId="5F1E3307" w:rsidR="00126400" w:rsidRPr="00BC2278" w:rsidRDefault="00184F89" w:rsidP="005F07DD">
      <w:pPr>
        <w:tabs>
          <w:tab w:val="left" w:pos="284"/>
        </w:tabs>
        <w:spacing w:before="240"/>
        <w:jc w:val="both"/>
        <w:rPr>
          <w:rFonts w:ascii="Gothic720 BT" w:hAnsi="Gothic720 BT"/>
        </w:rPr>
      </w:pPr>
      <w:r w:rsidRPr="00BC2278">
        <w:rPr>
          <w:rFonts w:ascii="Gothic720 BT" w:hAnsi="Gothic720 BT"/>
        </w:rPr>
        <w:lastRenderedPageBreak/>
        <w:t xml:space="preserve">Dentro de </w:t>
      </w:r>
      <w:r w:rsidR="00243267" w:rsidRPr="00BC2278">
        <w:rPr>
          <w:rFonts w:ascii="Gothic720 BT" w:hAnsi="Gothic720 BT"/>
        </w:rPr>
        <w:t xml:space="preserve">los </w:t>
      </w:r>
      <w:r w:rsidR="00BD482E" w:rsidRPr="00BC2278">
        <w:rPr>
          <w:rFonts w:ascii="Gothic720 BT" w:hAnsi="Gothic720 BT"/>
        </w:rPr>
        <w:t>tres</w:t>
      </w:r>
      <w:r w:rsidR="00243267" w:rsidRPr="00BC2278">
        <w:rPr>
          <w:rFonts w:ascii="Gothic720 BT" w:hAnsi="Gothic720 BT"/>
        </w:rPr>
        <w:t xml:space="preserve"> días hábiles siguientes </w:t>
      </w:r>
      <w:r w:rsidRPr="00BC2278">
        <w:rPr>
          <w:rFonts w:ascii="Gothic720 BT" w:hAnsi="Gothic720 BT"/>
        </w:rPr>
        <w:t xml:space="preserve">a la conclusión de la Campaña de Comunicación Social de que se trate, la Coordinación </w:t>
      </w:r>
      <w:r w:rsidR="00B22249" w:rsidRPr="00BC2278">
        <w:rPr>
          <w:rFonts w:ascii="Gothic720 BT" w:hAnsi="Gothic720 BT"/>
        </w:rPr>
        <w:t>dará aviso a</w:t>
      </w:r>
      <w:r w:rsidR="00243267" w:rsidRPr="00BC2278">
        <w:rPr>
          <w:rFonts w:ascii="Gothic720 BT" w:hAnsi="Gothic720 BT"/>
        </w:rPr>
        <w:t>l Comité Administrador</w:t>
      </w:r>
      <w:r w:rsidR="00E25D6E" w:rsidRPr="00BC2278">
        <w:rPr>
          <w:rFonts w:ascii="Gothic720 BT" w:hAnsi="Gothic720 BT"/>
        </w:rPr>
        <w:t xml:space="preserve"> a efecto de dar inicio al proceso de adquisición</w:t>
      </w:r>
      <w:r w:rsidR="00B5025C" w:rsidRPr="00BC2278">
        <w:rPr>
          <w:rFonts w:ascii="Gothic720 BT" w:hAnsi="Gothic720 BT"/>
        </w:rPr>
        <w:t xml:space="preserve"> </w:t>
      </w:r>
      <w:r w:rsidR="00E70096" w:rsidRPr="00BC2278">
        <w:rPr>
          <w:rFonts w:ascii="Gothic720 BT" w:hAnsi="Gothic720 BT"/>
        </w:rPr>
        <w:t>correspondiente</w:t>
      </w:r>
      <w:r w:rsidR="00E25D6E" w:rsidRPr="00BC2278">
        <w:rPr>
          <w:rFonts w:ascii="Gothic720 BT" w:hAnsi="Gothic720 BT"/>
        </w:rPr>
        <w:t>.</w:t>
      </w:r>
      <w:r w:rsidR="00E70096" w:rsidRPr="00BC2278">
        <w:rPr>
          <w:rFonts w:ascii="Gothic720 BT" w:hAnsi="Gothic720 BT"/>
        </w:rPr>
        <w:t xml:space="preserve"> </w:t>
      </w:r>
    </w:p>
    <w:p w14:paraId="3F3B0D9A" w14:textId="04771BE7" w:rsidR="008A1F22" w:rsidRPr="00BC2278" w:rsidRDefault="00184F89" w:rsidP="005F07DD">
      <w:pPr>
        <w:tabs>
          <w:tab w:val="left" w:pos="284"/>
        </w:tabs>
        <w:spacing w:before="240"/>
        <w:jc w:val="both"/>
        <w:rPr>
          <w:rFonts w:ascii="Gothic720 BT" w:hAnsi="Gothic720 BT"/>
        </w:rPr>
      </w:pPr>
      <w:r w:rsidRPr="00BC2278">
        <w:rPr>
          <w:rFonts w:ascii="Gothic720 BT" w:hAnsi="Gothic720 BT"/>
        </w:rPr>
        <w:t xml:space="preserve">Para tal efecto, </w:t>
      </w:r>
      <w:r w:rsidR="00243267" w:rsidRPr="00BC2278">
        <w:rPr>
          <w:rFonts w:ascii="Gothic720 BT" w:hAnsi="Gothic720 BT"/>
        </w:rPr>
        <w:t xml:space="preserve">el Comité Administrador </w:t>
      </w:r>
      <w:r w:rsidR="00431850" w:rsidRPr="00BC2278">
        <w:rPr>
          <w:rFonts w:ascii="Gothic720 BT" w:hAnsi="Gothic720 BT"/>
        </w:rPr>
        <w:t>solicitará</w:t>
      </w:r>
      <w:r w:rsidR="0082230C" w:rsidRPr="00BC2278">
        <w:rPr>
          <w:rFonts w:ascii="Gothic720 BT" w:hAnsi="Gothic720 BT"/>
        </w:rPr>
        <w:t xml:space="preserve"> </w:t>
      </w:r>
      <w:r w:rsidR="00555F6E" w:rsidRPr="00BC2278">
        <w:rPr>
          <w:rFonts w:ascii="Gothic720 BT" w:hAnsi="Gothic720 BT"/>
        </w:rPr>
        <w:t>al</w:t>
      </w:r>
      <w:r w:rsidR="0082230C" w:rsidRPr="00BC2278">
        <w:rPr>
          <w:rFonts w:ascii="Gothic720 BT" w:hAnsi="Gothic720 BT"/>
        </w:rPr>
        <w:t xml:space="preserve"> Comité de Adquisiciones, Enajenaciones, Arrendamientos y Contratación de Servicios del Instituto</w:t>
      </w:r>
      <w:r w:rsidR="00555F6E" w:rsidRPr="00BC2278">
        <w:rPr>
          <w:rFonts w:ascii="Gothic720 BT" w:hAnsi="Gothic720 BT"/>
        </w:rPr>
        <w:t xml:space="preserve"> iniciar el procedimiento correspondiente</w:t>
      </w:r>
      <w:r w:rsidR="009032E3" w:rsidRPr="00BC2278">
        <w:rPr>
          <w:rFonts w:ascii="Gothic720 BT" w:hAnsi="Gothic720 BT"/>
        </w:rPr>
        <w:t>, conforme a la normatividad de la materia</w:t>
      </w:r>
      <w:r w:rsidRPr="00BC2278">
        <w:rPr>
          <w:rFonts w:ascii="Gothic720 BT" w:hAnsi="Gothic720 BT"/>
        </w:rPr>
        <w:t>.</w:t>
      </w:r>
    </w:p>
    <w:p w14:paraId="5B9E2871" w14:textId="3BD1E573" w:rsidR="00B22249" w:rsidRPr="00BC2278" w:rsidRDefault="008A1F22" w:rsidP="005F07DD">
      <w:pPr>
        <w:tabs>
          <w:tab w:val="left" w:pos="284"/>
        </w:tabs>
        <w:spacing w:before="240"/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>Artículo 1</w:t>
      </w:r>
      <w:r w:rsidR="006C6C61" w:rsidRPr="00BC2278">
        <w:rPr>
          <w:rFonts w:ascii="Gothic720 BT" w:hAnsi="Gothic720 BT"/>
          <w:b/>
          <w:bCs/>
        </w:rPr>
        <w:t>3</w:t>
      </w:r>
      <w:r w:rsidRPr="00BC2278">
        <w:rPr>
          <w:rFonts w:ascii="Gothic720 BT" w:hAnsi="Gothic720 BT"/>
          <w:b/>
          <w:bCs/>
        </w:rPr>
        <w:t>.</w:t>
      </w:r>
      <w:r w:rsidRPr="00BC2278">
        <w:rPr>
          <w:rFonts w:ascii="Gothic720 BT" w:hAnsi="Gothic720 BT"/>
        </w:rPr>
        <w:t xml:space="preserve"> </w:t>
      </w:r>
      <w:r w:rsidR="009032E3" w:rsidRPr="00BC2278">
        <w:rPr>
          <w:rFonts w:ascii="Gothic720 BT" w:hAnsi="Gothic720 BT"/>
        </w:rPr>
        <w:t>Una vez c</w:t>
      </w:r>
      <w:r w:rsidRPr="00BC2278">
        <w:rPr>
          <w:rFonts w:ascii="Gothic720 BT" w:hAnsi="Gothic720 BT"/>
        </w:rPr>
        <w:t>oncluido el estudio de efectividad será remitido al Comité Administrador</w:t>
      </w:r>
      <w:r w:rsidR="00187E6D" w:rsidRPr="00BC2278">
        <w:rPr>
          <w:rFonts w:ascii="Gothic720 BT" w:hAnsi="Gothic720 BT"/>
        </w:rPr>
        <w:t xml:space="preserve">, </w:t>
      </w:r>
      <w:r w:rsidR="00F548D4" w:rsidRPr="00BC2278">
        <w:rPr>
          <w:rFonts w:ascii="Gothic720 BT" w:hAnsi="Gothic720 BT"/>
        </w:rPr>
        <w:t>dicho comité</w:t>
      </w:r>
      <w:r w:rsidR="00187E6D" w:rsidRPr="00BC2278">
        <w:rPr>
          <w:rFonts w:ascii="Gothic720 BT" w:hAnsi="Gothic720 BT"/>
        </w:rPr>
        <w:t xml:space="preserve"> lo hará del conocimiento del </w:t>
      </w:r>
      <w:r w:rsidRPr="00BC2278">
        <w:rPr>
          <w:rFonts w:ascii="Gothic720 BT" w:hAnsi="Gothic720 BT"/>
        </w:rPr>
        <w:t>Consejo General</w:t>
      </w:r>
      <w:r w:rsidR="00061A90" w:rsidRPr="00BC2278">
        <w:rPr>
          <w:rFonts w:ascii="Gothic720 BT" w:hAnsi="Gothic720 BT"/>
        </w:rPr>
        <w:t xml:space="preserve"> </w:t>
      </w:r>
      <w:r w:rsidR="00ED2483" w:rsidRPr="00BC2278">
        <w:rPr>
          <w:rFonts w:ascii="Gothic720 BT" w:hAnsi="Gothic720 BT"/>
        </w:rPr>
        <w:t xml:space="preserve">a través de la Secretaría Ejecutiva </w:t>
      </w:r>
      <w:r w:rsidR="00126400" w:rsidRPr="00BC2278">
        <w:rPr>
          <w:rFonts w:ascii="Gothic720 BT" w:hAnsi="Gothic720 BT"/>
        </w:rPr>
        <w:t xml:space="preserve">mediante </w:t>
      </w:r>
      <w:r w:rsidR="00C226BA" w:rsidRPr="00BC2278">
        <w:rPr>
          <w:rFonts w:ascii="Gothic720 BT" w:hAnsi="Gothic720 BT"/>
        </w:rPr>
        <w:t xml:space="preserve">el </w:t>
      </w:r>
      <w:r w:rsidR="00126400" w:rsidRPr="00BC2278">
        <w:rPr>
          <w:rFonts w:ascii="Gothic720 BT" w:hAnsi="Gothic720 BT"/>
        </w:rPr>
        <w:t xml:space="preserve">informe </w:t>
      </w:r>
      <w:r w:rsidR="00ED2483" w:rsidRPr="00BC2278">
        <w:rPr>
          <w:rFonts w:ascii="Gothic720 BT" w:hAnsi="Gothic720 BT"/>
        </w:rPr>
        <w:t xml:space="preserve">que se rinda en </w:t>
      </w:r>
      <w:r w:rsidR="00061A90" w:rsidRPr="00BC2278">
        <w:rPr>
          <w:rFonts w:ascii="Gothic720 BT" w:hAnsi="Gothic720 BT"/>
        </w:rPr>
        <w:t xml:space="preserve">la sesión </w:t>
      </w:r>
      <w:r w:rsidR="00211D91" w:rsidRPr="00BC2278">
        <w:rPr>
          <w:rFonts w:ascii="Gothic720 BT" w:hAnsi="Gothic720 BT"/>
        </w:rPr>
        <w:t xml:space="preserve">ordinaria </w:t>
      </w:r>
      <w:r w:rsidR="00061A90" w:rsidRPr="00BC2278">
        <w:rPr>
          <w:rFonts w:ascii="Gothic720 BT" w:hAnsi="Gothic720 BT"/>
        </w:rPr>
        <w:t>que corresponda</w:t>
      </w:r>
      <w:r w:rsidR="000621C5" w:rsidRPr="00BC2278">
        <w:rPr>
          <w:rFonts w:ascii="Gothic720 BT" w:hAnsi="Gothic720 BT"/>
        </w:rPr>
        <w:t>.</w:t>
      </w:r>
    </w:p>
    <w:p w14:paraId="44AFE6AC" w14:textId="20A19BF3" w:rsidR="000621C5" w:rsidRPr="00BC2278" w:rsidRDefault="000621C5" w:rsidP="000621C5">
      <w:pPr>
        <w:pStyle w:val="Ttulo1"/>
        <w:spacing w:before="0" w:line="240" w:lineRule="auto"/>
        <w:jc w:val="center"/>
        <w:rPr>
          <w:rFonts w:ascii="Gothic720 BT" w:hAnsi="Gothic720 BT"/>
          <w:b/>
          <w:bCs/>
          <w:color w:val="auto"/>
          <w:sz w:val="22"/>
          <w:szCs w:val="22"/>
        </w:rPr>
      </w:pPr>
      <w:bookmarkStart w:id="18" w:name="_Toc132727316"/>
      <w:r w:rsidRPr="00BC2278">
        <w:rPr>
          <w:rFonts w:ascii="Gothic720 BT" w:hAnsi="Gothic720 BT"/>
          <w:b/>
          <w:bCs/>
          <w:color w:val="auto"/>
          <w:sz w:val="22"/>
          <w:szCs w:val="22"/>
        </w:rPr>
        <w:t>Título tercero</w:t>
      </w:r>
      <w:bookmarkEnd w:id="18"/>
    </w:p>
    <w:p w14:paraId="2DFE56D2" w14:textId="77777777" w:rsidR="00126400" w:rsidRPr="00BC2278" w:rsidRDefault="00373687" w:rsidP="000621C5">
      <w:pPr>
        <w:pStyle w:val="Ttulo1"/>
        <w:spacing w:before="0" w:line="240" w:lineRule="auto"/>
        <w:jc w:val="center"/>
        <w:rPr>
          <w:rFonts w:ascii="Gothic720 BT" w:hAnsi="Gothic720 BT"/>
          <w:b/>
          <w:bCs/>
          <w:color w:val="auto"/>
          <w:sz w:val="22"/>
          <w:szCs w:val="22"/>
        </w:rPr>
      </w:pPr>
      <w:bookmarkStart w:id="19" w:name="_Toc132727317"/>
      <w:r w:rsidRPr="00BC2278">
        <w:rPr>
          <w:rFonts w:ascii="Gothic720 BT" w:hAnsi="Gothic720 BT"/>
          <w:b/>
          <w:bCs/>
          <w:color w:val="auto"/>
          <w:sz w:val="22"/>
          <w:szCs w:val="22"/>
        </w:rPr>
        <w:t>De las disposiciones comunes en los estudios de pertinencia</w:t>
      </w:r>
      <w:bookmarkEnd w:id="19"/>
      <w:r w:rsidRPr="00BC2278">
        <w:rPr>
          <w:rFonts w:ascii="Gothic720 BT" w:hAnsi="Gothic720 BT"/>
          <w:b/>
          <w:bCs/>
          <w:color w:val="auto"/>
          <w:sz w:val="22"/>
          <w:szCs w:val="22"/>
        </w:rPr>
        <w:t xml:space="preserve"> </w:t>
      </w:r>
    </w:p>
    <w:p w14:paraId="571FB81C" w14:textId="787EA7F5" w:rsidR="00373687" w:rsidRPr="00BC2278" w:rsidRDefault="00373687" w:rsidP="000621C5">
      <w:pPr>
        <w:pStyle w:val="Ttulo1"/>
        <w:spacing w:before="0" w:line="240" w:lineRule="auto"/>
        <w:jc w:val="center"/>
        <w:rPr>
          <w:rFonts w:ascii="Gothic720 BT" w:hAnsi="Gothic720 BT"/>
          <w:b/>
          <w:bCs/>
          <w:color w:val="auto"/>
          <w:sz w:val="22"/>
          <w:szCs w:val="22"/>
        </w:rPr>
      </w:pPr>
      <w:bookmarkStart w:id="20" w:name="_Toc132727318"/>
      <w:r w:rsidRPr="00BC2278">
        <w:rPr>
          <w:rFonts w:ascii="Gothic720 BT" w:hAnsi="Gothic720 BT"/>
          <w:b/>
          <w:bCs/>
          <w:color w:val="auto"/>
          <w:sz w:val="22"/>
          <w:szCs w:val="22"/>
        </w:rPr>
        <w:t>y efectividad de las Campañas de Comunicación Social del Instituto</w:t>
      </w:r>
      <w:bookmarkEnd w:id="20"/>
    </w:p>
    <w:p w14:paraId="2BA0D181" w14:textId="77777777" w:rsidR="000621C5" w:rsidRPr="00BC2278" w:rsidRDefault="000621C5" w:rsidP="000621C5"/>
    <w:p w14:paraId="26FA6C02" w14:textId="64FC3C68" w:rsidR="000621C5" w:rsidRPr="00BC2278" w:rsidRDefault="000621C5" w:rsidP="000621C5">
      <w:pPr>
        <w:pStyle w:val="Ttulo2"/>
        <w:spacing w:before="0"/>
        <w:jc w:val="center"/>
        <w:rPr>
          <w:rFonts w:ascii="Gothic720 BT" w:hAnsi="Gothic720 BT"/>
          <w:b/>
          <w:bCs/>
          <w:color w:val="auto"/>
          <w:sz w:val="22"/>
          <w:szCs w:val="22"/>
        </w:rPr>
      </w:pPr>
      <w:bookmarkStart w:id="21" w:name="_Toc132727319"/>
      <w:r w:rsidRPr="00BC2278">
        <w:rPr>
          <w:rFonts w:ascii="Gothic720 BT" w:hAnsi="Gothic720 BT"/>
          <w:b/>
          <w:bCs/>
          <w:color w:val="auto"/>
          <w:sz w:val="22"/>
          <w:szCs w:val="22"/>
        </w:rPr>
        <w:t>Cap</w:t>
      </w:r>
      <w:r w:rsidR="006D7CFE" w:rsidRPr="00BC2278">
        <w:rPr>
          <w:rFonts w:ascii="Gothic720 BT" w:hAnsi="Gothic720 BT"/>
          <w:b/>
          <w:bCs/>
          <w:color w:val="auto"/>
          <w:sz w:val="22"/>
          <w:szCs w:val="22"/>
        </w:rPr>
        <w:t>í</w:t>
      </w:r>
      <w:r w:rsidRPr="00BC2278">
        <w:rPr>
          <w:rFonts w:ascii="Gothic720 BT" w:hAnsi="Gothic720 BT"/>
          <w:b/>
          <w:bCs/>
          <w:color w:val="auto"/>
          <w:sz w:val="22"/>
          <w:szCs w:val="22"/>
        </w:rPr>
        <w:t>tulo</w:t>
      </w:r>
      <w:r w:rsidR="001C1397" w:rsidRPr="00BC2278">
        <w:rPr>
          <w:rFonts w:ascii="Gothic720 BT" w:hAnsi="Gothic720 BT"/>
          <w:b/>
          <w:bCs/>
          <w:color w:val="auto"/>
          <w:sz w:val="22"/>
          <w:szCs w:val="22"/>
        </w:rPr>
        <w:t xml:space="preserve"> primero</w:t>
      </w:r>
      <w:bookmarkEnd w:id="21"/>
    </w:p>
    <w:p w14:paraId="37664A2C" w14:textId="0CF4C2D6" w:rsidR="00E4377A" w:rsidRPr="00BC2278" w:rsidRDefault="000621C5" w:rsidP="00E4377A">
      <w:pPr>
        <w:pStyle w:val="Ttulo2"/>
        <w:spacing w:before="0"/>
        <w:jc w:val="center"/>
        <w:rPr>
          <w:rFonts w:ascii="Gothic720 BT" w:hAnsi="Gothic720 BT"/>
          <w:b/>
          <w:bCs/>
          <w:color w:val="auto"/>
          <w:sz w:val="22"/>
          <w:szCs w:val="22"/>
        </w:rPr>
      </w:pPr>
      <w:bookmarkStart w:id="22" w:name="_Toc132727320"/>
      <w:r w:rsidRPr="00BC2278">
        <w:rPr>
          <w:rFonts w:ascii="Gothic720 BT" w:hAnsi="Gothic720 BT"/>
          <w:b/>
          <w:bCs/>
          <w:color w:val="auto"/>
          <w:sz w:val="22"/>
          <w:szCs w:val="22"/>
        </w:rPr>
        <w:t>Disposiciones comunes</w:t>
      </w:r>
      <w:bookmarkEnd w:id="22"/>
    </w:p>
    <w:p w14:paraId="1E221B59" w14:textId="77777777" w:rsidR="001B451E" w:rsidRPr="00BC2278" w:rsidRDefault="001B451E" w:rsidP="001B451E">
      <w:pPr>
        <w:rPr>
          <w:sz w:val="2"/>
          <w:szCs w:val="2"/>
        </w:rPr>
      </w:pPr>
    </w:p>
    <w:p w14:paraId="1FFC605F" w14:textId="441A905B" w:rsidR="00935CC4" w:rsidRPr="00BC2278" w:rsidRDefault="00373687" w:rsidP="00373687">
      <w:pPr>
        <w:tabs>
          <w:tab w:val="left" w:pos="284"/>
        </w:tabs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>Artículo 1</w:t>
      </w:r>
      <w:r w:rsidR="006C6C61" w:rsidRPr="00BC2278">
        <w:rPr>
          <w:rFonts w:ascii="Gothic720 BT" w:hAnsi="Gothic720 BT"/>
          <w:b/>
          <w:bCs/>
        </w:rPr>
        <w:t>4</w:t>
      </w:r>
      <w:r w:rsidR="00243267" w:rsidRPr="00BC2278">
        <w:rPr>
          <w:rFonts w:ascii="Gothic720 BT" w:hAnsi="Gothic720 BT"/>
          <w:b/>
          <w:bCs/>
        </w:rPr>
        <w:t>.</w:t>
      </w:r>
      <w:r w:rsidRPr="00BC2278">
        <w:rPr>
          <w:rFonts w:ascii="Gothic720 BT" w:hAnsi="Gothic720 BT"/>
        </w:rPr>
        <w:t xml:space="preserve"> </w:t>
      </w:r>
      <w:r w:rsidR="000621C5" w:rsidRPr="00BC2278">
        <w:rPr>
          <w:rFonts w:ascii="Gothic720 BT" w:hAnsi="Gothic720 BT"/>
        </w:rPr>
        <w:t>En ningún caso los estudios de pertinencia o efectividad podrán incluir nombres, imágenes, voces o símbolos que impliquen promoción personalizada de</w:t>
      </w:r>
      <w:r w:rsidR="00555F6E" w:rsidRPr="00BC2278">
        <w:rPr>
          <w:rFonts w:ascii="Gothic720 BT" w:hAnsi="Gothic720 BT"/>
        </w:rPr>
        <w:t>l</w:t>
      </w:r>
      <w:r w:rsidR="000621C5" w:rsidRPr="00BC2278">
        <w:rPr>
          <w:rFonts w:ascii="Gothic720 BT" w:hAnsi="Gothic720 BT"/>
        </w:rPr>
        <w:t xml:space="preserve"> funcionariado público. </w:t>
      </w:r>
    </w:p>
    <w:p w14:paraId="3507ABE5" w14:textId="69A60B1A" w:rsidR="00373687" w:rsidRPr="00BC2278" w:rsidRDefault="00935CC4" w:rsidP="00373687">
      <w:pPr>
        <w:tabs>
          <w:tab w:val="left" w:pos="284"/>
        </w:tabs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>Artículo 1</w:t>
      </w:r>
      <w:r w:rsidR="006C6C61" w:rsidRPr="00BC2278">
        <w:rPr>
          <w:rFonts w:ascii="Gothic720 BT" w:hAnsi="Gothic720 BT"/>
          <w:b/>
          <w:bCs/>
        </w:rPr>
        <w:t>5</w:t>
      </w:r>
      <w:r w:rsidRPr="00BC2278">
        <w:rPr>
          <w:rFonts w:ascii="Gothic720 BT" w:hAnsi="Gothic720 BT"/>
          <w:b/>
          <w:bCs/>
        </w:rPr>
        <w:t>.</w:t>
      </w:r>
      <w:r w:rsidRPr="00BC2278">
        <w:rPr>
          <w:rFonts w:ascii="Gothic720 BT" w:hAnsi="Gothic720 BT"/>
        </w:rPr>
        <w:t xml:space="preserve"> </w:t>
      </w:r>
      <w:r w:rsidR="00373687" w:rsidRPr="00BC2278">
        <w:rPr>
          <w:rFonts w:ascii="Gothic720 BT" w:hAnsi="Gothic720 BT"/>
        </w:rPr>
        <w:t xml:space="preserve">La realización de los estudios de pertinencia </w:t>
      </w:r>
      <w:r w:rsidR="000621C5" w:rsidRPr="00BC2278">
        <w:rPr>
          <w:rFonts w:ascii="Gothic720 BT" w:hAnsi="Gothic720 BT"/>
        </w:rPr>
        <w:t xml:space="preserve">y efectividad </w:t>
      </w:r>
      <w:r w:rsidR="00373687" w:rsidRPr="00BC2278">
        <w:rPr>
          <w:rFonts w:ascii="Gothic720 BT" w:hAnsi="Gothic720 BT"/>
        </w:rPr>
        <w:t>estará</w:t>
      </w:r>
      <w:r w:rsidR="00555F6E" w:rsidRPr="00BC2278">
        <w:rPr>
          <w:rFonts w:ascii="Gothic720 BT" w:hAnsi="Gothic720 BT"/>
        </w:rPr>
        <w:t>n</w:t>
      </w:r>
      <w:r w:rsidR="00373687" w:rsidRPr="00BC2278">
        <w:rPr>
          <w:rFonts w:ascii="Gothic720 BT" w:hAnsi="Gothic720 BT"/>
        </w:rPr>
        <w:t xml:space="preserve"> a cargo de personas físicas o morales que cuenten con </w:t>
      </w:r>
      <w:r w:rsidR="00184F89" w:rsidRPr="00BC2278">
        <w:rPr>
          <w:rFonts w:ascii="Gothic720 BT" w:hAnsi="Gothic720 BT"/>
        </w:rPr>
        <w:t xml:space="preserve">por lo menos dos años </w:t>
      </w:r>
      <w:r w:rsidR="00373687" w:rsidRPr="00BC2278">
        <w:rPr>
          <w:rFonts w:ascii="Gothic720 BT" w:hAnsi="Gothic720 BT"/>
        </w:rPr>
        <w:t xml:space="preserve">experiencia técnica comprobable en la materia. </w:t>
      </w:r>
    </w:p>
    <w:p w14:paraId="025A45B0" w14:textId="2D0AF14A" w:rsidR="00373687" w:rsidRPr="00BC2278" w:rsidRDefault="00373687" w:rsidP="00373687">
      <w:pPr>
        <w:tabs>
          <w:tab w:val="left" w:pos="284"/>
        </w:tabs>
        <w:jc w:val="both"/>
        <w:rPr>
          <w:rFonts w:ascii="Gothic720 BT" w:hAnsi="Gothic720 BT"/>
        </w:rPr>
      </w:pPr>
      <w:r w:rsidRPr="00BC2278">
        <w:rPr>
          <w:rFonts w:ascii="Gothic720 BT" w:hAnsi="Gothic720 BT"/>
        </w:rPr>
        <w:t xml:space="preserve">Las personas físicas o morales </w:t>
      </w:r>
      <w:r w:rsidR="00184F89" w:rsidRPr="00BC2278">
        <w:rPr>
          <w:rFonts w:ascii="Gothic720 BT" w:hAnsi="Gothic720 BT"/>
        </w:rPr>
        <w:t>que lleven a cabo los estudios de pertinencia o</w:t>
      </w:r>
      <w:r w:rsidR="00A97E12" w:rsidRPr="00BC2278">
        <w:rPr>
          <w:rFonts w:ascii="Gothic720 BT" w:hAnsi="Gothic720 BT"/>
        </w:rPr>
        <w:t xml:space="preserve"> de</w:t>
      </w:r>
      <w:r w:rsidR="00184F89" w:rsidRPr="00BC2278">
        <w:rPr>
          <w:rFonts w:ascii="Gothic720 BT" w:hAnsi="Gothic720 BT"/>
        </w:rPr>
        <w:t xml:space="preserve"> efectividad</w:t>
      </w:r>
      <w:r w:rsidRPr="00BC2278">
        <w:rPr>
          <w:rFonts w:ascii="Gothic720 BT" w:hAnsi="Gothic720 BT"/>
        </w:rPr>
        <w:t xml:space="preserve"> no podrán ser las mismas que realicen la Campaña de Comunicación Social</w:t>
      </w:r>
      <w:r w:rsidR="00184F89" w:rsidRPr="00BC2278">
        <w:rPr>
          <w:rFonts w:ascii="Gothic720 BT" w:hAnsi="Gothic720 BT"/>
        </w:rPr>
        <w:t>.</w:t>
      </w:r>
    </w:p>
    <w:p w14:paraId="718AD349" w14:textId="6FF46294" w:rsidR="00AC3D97" w:rsidRPr="00BC2278" w:rsidRDefault="00373687" w:rsidP="00A97E12">
      <w:pPr>
        <w:tabs>
          <w:tab w:val="left" w:pos="284"/>
        </w:tabs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>Artículo 1</w:t>
      </w:r>
      <w:r w:rsidR="006C6C61" w:rsidRPr="00BC2278">
        <w:rPr>
          <w:rFonts w:ascii="Gothic720 BT" w:hAnsi="Gothic720 BT"/>
          <w:b/>
          <w:bCs/>
        </w:rPr>
        <w:t>6</w:t>
      </w:r>
      <w:r w:rsidRPr="00BC2278">
        <w:rPr>
          <w:rFonts w:ascii="Gothic720 BT" w:hAnsi="Gothic720 BT"/>
          <w:b/>
          <w:bCs/>
        </w:rPr>
        <w:t>.</w:t>
      </w:r>
      <w:r w:rsidRPr="00BC2278">
        <w:rPr>
          <w:rFonts w:ascii="Gothic720 BT" w:hAnsi="Gothic720 BT"/>
        </w:rPr>
        <w:t xml:space="preserve"> </w:t>
      </w:r>
      <w:r w:rsidR="001C1397" w:rsidRPr="00BC2278">
        <w:rPr>
          <w:rFonts w:ascii="Gothic720 BT" w:hAnsi="Gothic720 BT"/>
        </w:rPr>
        <w:t xml:space="preserve">Los estudios de pertinencia y/o efectividad deben incluirse en el proceso de planificación de las Campañas de Comunicación Social a fin de que el presupuesto de </w:t>
      </w:r>
      <w:proofErr w:type="gramStart"/>
      <w:r w:rsidR="00AD5ED8" w:rsidRPr="00BC2278">
        <w:rPr>
          <w:rFonts w:ascii="Gothic720 BT" w:hAnsi="Gothic720 BT"/>
        </w:rPr>
        <w:t>la misma</w:t>
      </w:r>
      <w:proofErr w:type="gramEnd"/>
      <w:r w:rsidR="001C1397" w:rsidRPr="00BC2278">
        <w:rPr>
          <w:rFonts w:ascii="Gothic720 BT" w:hAnsi="Gothic720 BT"/>
        </w:rPr>
        <w:t xml:space="preserve"> cuente con recursos suficientes para su evaluación. </w:t>
      </w:r>
    </w:p>
    <w:p w14:paraId="2C2EDBBB" w14:textId="77B98159" w:rsidR="006D7CFE" w:rsidRPr="00BC2278" w:rsidRDefault="006D7CFE" w:rsidP="006D7CFE">
      <w:pPr>
        <w:keepNext/>
        <w:keepLines/>
        <w:spacing w:after="0"/>
        <w:jc w:val="center"/>
        <w:outlineLvl w:val="1"/>
        <w:rPr>
          <w:rFonts w:ascii="Gothic720 BT" w:eastAsiaTheme="majorEastAsia" w:hAnsi="Gothic720 BT" w:cstheme="majorBidi"/>
          <w:b/>
          <w:bCs/>
        </w:rPr>
      </w:pPr>
      <w:bookmarkStart w:id="23" w:name="_Toc132706156"/>
      <w:bookmarkStart w:id="24" w:name="_Toc132727321"/>
      <w:r w:rsidRPr="00BC2278">
        <w:rPr>
          <w:rFonts w:ascii="Gothic720 BT" w:eastAsiaTheme="majorEastAsia" w:hAnsi="Gothic720 BT" w:cstheme="majorBidi"/>
          <w:b/>
          <w:bCs/>
        </w:rPr>
        <w:t>Capítulo segundo</w:t>
      </w:r>
      <w:bookmarkEnd w:id="23"/>
      <w:bookmarkEnd w:id="24"/>
    </w:p>
    <w:p w14:paraId="1CB05BE5" w14:textId="77777777" w:rsidR="006D7CFE" w:rsidRPr="00BC2278" w:rsidRDefault="006D7CFE" w:rsidP="006D7CFE">
      <w:pPr>
        <w:keepNext/>
        <w:keepLines/>
        <w:spacing w:after="0"/>
        <w:jc w:val="center"/>
        <w:outlineLvl w:val="1"/>
        <w:rPr>
          <w:rFonts w:ascii="Gothic720 BT" w:eastAsiaTheme="majorEastAsia" w:hAnsi="Gothic720 BT" w:cstheme="majorBidi"/>
          <w:b/>
          <w:bCs/>
        </w:rPr>
      </w:pPr>
      <w:bookmarkStart w:id="25" w:name="_Toc132706157"/>
      <w:bookmarkStart w:id="26" w:name="_Toc132727322"/>
      <w:r w:rsidRPr="00BC2278">
        <w:rPr>
          <w:rFonts w:ascii="Gothic720 BT" w:eastAsiaTheme="majorEastAsia" w:hAnsi="Gothic720 BT" w:cstheme="majorBidi"/>
          <w:b/>
          <w:bCs/>
        </w:rPr>
        <w:t>De la cancelación de los estudios</w:t>
      </w:r>
      <w:bookmarkEnd w:id="25"/>
      <w:bookmarkEnd w:id="26"/>
    </w:p>
    <w:p w14:paraId="34C21431" w14:textId="77777777" w:rsidR="006D7CFE" w:rsidRPr="00BC2278" w:rsidRDefault="006D7CFE" w:rsidP="006D7CFE">
      <w:pPr>
        <w:tabs>
          <w:tab w:val="left" w:pos="284"/>
        </w:tabs>
        <w:spacing w:after="0"/>
        <w:jc w:val="center"/>
        <w:rPr>
          <w:rFonts w:ascii="Gothic720 BT" w:hAnsi="Gothic720 BT"/>
          <w:b/>
          <w:bCs/>
        </w:rPr>
      </w:pPr>
    </w:p>
    <w:p w14:paraId="148D77E4" w14:textId="6B8E8581" w:rsidR="006D7CFE" w:rsidRPr="00BC2278" w:rsidRDefault="006D7CFE" w:rsidP="006D7CFE">
      <w:pPr>
        <w:tabs>
          <w:tab w:val="left" w:pos="284"/>
        </w:tabs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>Artículo 17.</w:t>
      </w:r>
      <w:r w:rsidRPr="00BC2278">
        <w:rPr>
          <w:rFonts w:ascii="Gothic720 BT" w:hAnsi="Gothic720 BT"/>
        </w:rPr>
        <w:t xml:space="preserve"> La cancelación de los estudios de pertinencia y efectividad</w:t>
      </w:r>
      <w:r w:rsidR="00444137" w:rsidRPr="00BC2278">
        <w:rPr>
          <w:rFonts w:ascii="Gothic720 BT" w:hAnsi="Gothic720 BT"/>
        </w:rPr>
        <w:t xml:space="preserve"> será determinada por el Comité Administrador y</w:t>
      </w:r>
      <w:r w:rsidRPr="00BC2278">
        <w:rPr>
          <w:rFonts w:ascii="Gothic720 BT" w:hAnsi="Gothic720 BT"/>
        </w:rPr>
        <w:t xml:space="preserve"> procederá en los casos siguientes: </w:t>
      </w:r>
    </w:p>
    <w:p w14:paraId="123D2260" w14:textId="77777777" w:rsidR="006D7CFE" w:rsidRPr="00BC2278" w:rsidRDefault="006D7CFE" w:rsidP="006D7CFE">
      <w:pPr>
        <w:numPr>
          <w:ilvl w:val="0"/>
          <w:numId w:val="10"/>
        </w:numPr>
        <w:tabs>
          <w:tab w:val="left" w:pos="567"/>
          <w:tab w:val="left" w:pos="851"/>
        </w:tabs>
        <w:ind w:left="567" w:hanging="425"/>
        <w:contextualSpacing/>
        <w:jc w:val="both"/>
        <w:rPr>
          <w:rFonts w:ascii="Gothic720 BT" w:hAnsi="Gothic720 BT"/>
        </w:rPr>
      </w:pPr>
      <w:r w:rsidRPr="00BC2278">
        <w:rPr>
          <w:rFonts w:ascii="Gothic720 BT" w:hAnsi="Gothic720 BT"/>
        </w:rPr>
        <w:t xml:space="preserve">Cuando los recursos disponibles sean insuficientes para contraer el gasto derivado de la realización de los estudios de pertinencia o efectividad. </w:t>
      </w:r>
    </w:p>
    <w:p w14:paraId="4E5C675C" w14:textId="77777777" w:rsidR="006D7CFE" w:rsidRPr="00BC2278" w:rsidRDefault="006D7CFE" w:rsidP="006D7CFE">
      <w:pPr>
        <w:tabs>
          <w:tab w:val="left" w:pos="567"/>
          <w:tab w:val="left" w:pos="851"/>
        </w:tabs>
        <w:ind w:left="567"/>
        <w:contextualSpacing/>
        <w:jc w:val="both"/>
        <w:rPr>
          <w:rFonts w:ascii="Gothic720 BT" w:hAnsi="Gothic720 BT"/>
        </w:rPr>
      </w:pPr>
    </w:p>
    <w:p w14:paraId="49F60DE3" w14:textId="77777777" w:rsidR="006D7CFE" w:rsidRPr="00BC2278" w:rsidRDefault="006D7CFE" w:rsidP="006D7CFE">
      <w:pPr>
        <w:numPr>
          <w:ilvl w:val="0"/>
          <w:numId w:val="10"/>
        </w:numPr>
        <w:tabs>
          <w:tab w:val="left" w:pos="567"/>
          <w:tab w:val="left" w:pos="851"/>
        </w:tabs>
        <w:ind w:left="567" w:hanging="425"/>
        <w:contextualSpacing/>
        <w:jc w:val="both"/>
        <w:rPr>
          <w:rFonts w:ascii="Gothic720 BT" w:hAnsi="Gothic720 BT"/>
        </w:rPr>
      </w:pPr>
      <w:r w:rsidRPr="00BC2278">
        <w:rPr>
          <w:rFonts w:ascii="Gothic720 BT" w:hAnsi="Gothic720 BT"/>
        </w:rPr>
        <w:t xml:space="preserve">Cuando previamente se haya realizado la cancelación de la Estrategia, el Programa Anual o la Campaña de Comunicación Social en términos de la normatividad aplicable. </w:t>
      </w:r>
    </w:p>
    <w:p w14:paraId="7F7F92A8" w14:textId="77777777" w:rsidR="006D7CFE" w:rsidRPr="00BC2278" w:rsidRDefault="006D7CFE" w:rsidP="006D7CFE">
      <w:pPr>
        <w:tabs>
          <w:tab w:val="left" w:pos="567"/>
          <w:tab w:val="left" w:pos="851"/>
        </w:tabs>
        <w:jc w:val="both"/>
        <w:rPr>
          <w:rFonts w:ascii="Gothic720 BT" w:hAnsi="Gothic720 BT"/>
          <w:sz w:val="2"/>
          <w:szCs w:val="2"/>
        </w:rPr>
      </w:pPr>
    </w:p>
    <w:p w14:paraId="5C2A2506" w14:textId="77777777" w:rsidR="006D7CFE" w:rsidRPr="00BC2278" w:rsidRDefault="006D7CFE" w:rsidP="006D7CFE">
      <w:pPr>
        <w:numPr>
          <w:ilvl w:val="0"/>
          <w:numId w:val="10"/>
        </w:numPr>
        <w:tabs>
          <w:tab w:val="left" w:pos="567"/>
        </w:tabs>
        <w:ind w:left="142" w:firstLine="0"/>
        <w:contextualSpacing/>
        <w:jc w:val="both"/>
        <w:rPr>
          <w:rFonts w:ascii="Gothic720 BT" w:hAnsi="Gothic720 BT"/>
        </w:rPr>
      </w:pPr>
      <w:r w:rsidRPr="00BC2278">
        <w:rPr>
          <w:rFonts w:ascii="Gothic720 BT" w:hAnsi="Gothic720 BT"/>
        </w:rPr>
        <w:lastRenderedPageBreak/>
        <w:t xml:space="preserve">Por determinación de autoridades jurisdiccionales. </w:t>
      </w:r>
    </w:p>
    <w:p w14:paraId="57DB49E5" w14:textId="77777777" w:rsidR="006D7CFE" w:rsidRPr="00BC2278" w:rsidRDefault="006D7CFE" w:rsidP="006D7CFE">
      <w:pPr>
        <w:ind w:left="720"/>
        <w:contextualSpacing/>
        <w:rPr>
          <w:rFonts w:ascii="Gothic720 BT" w:hAnsi="Gothic720 BT"/>
        </w:rPr>
      </w:pPr>
    </w:p>
    <w:p w14:paraId="12AEB38E" w14:textId="1F36ED9C" w:rsidR="006D7CFE" w:rsidRPr="00BC2278" w:rsidRDefault="006D7CFE" w:rsidP="006D7CFE">
      <w:pPr>
        <w:numPr>
          <w:ilvl w:val="0"/>
          <w:numId w:val="10"/>
        </w:numPr>
        <w:tabs>
          <w:tab w:val="left" w:pos="567"/>
        </w:tabs>
        <w:ind w:left="567" w:hanging="425"/>
        <w:contextualSpacing/>
        <w:jc w:val="both"/>
        <w:rPr>
          <w:rFonts w:ascii="Gothic720 BT" w:hAnsi="Gothic720 BT"/>
        </w:rPr>
      </w:pPr>
      <w:r w:rsidRPr="00BC2278">
        <w:rPr>
          <w:rFonts w:ascii="Gothic720 BT" w:hAnsi="Gothic720 BT"/>
        </w:rPr>
        <w:t xml:space="preserve">Cuando se cuente con un contrato de prestación de servicios para la realización de los estudios de pertinencia o efectividad y éste haya </w:t>
      </w:r>
      <w:r w:rsidR="00770AF9" w:rsidRPr="00BC2278">
        <w:rPr>
          <w:rFonts w:ascii="Gothic720 BT" w:hAnsi="Gothic720 BT"/>
        </w:rPr>
        <w:t>quedado</w:t>
      </w:r>
      <w:r w:rsidRPr="00BC2278">
        <w:rPr>
          <w:rFonts w:ascii="Gothic720 BT" w:hAnsi="Gothic720 BT"/>
        </w:rPr>
        <w:t xml:space="preserve"> </w:t>
      </w:r>
      <w:r w:rsidR="00AD5ED8" w:rsidRPr="00BC2278">
        <w:rPr>
          <w:rFonts w:ascii="Gothic720 BT" w:hAnsi="Gothic720 BT"/>
        </w:rPr>
        <w:t>sin</w:t>
      </w:r>
      <w:r w:rsidRPr="00BC2278">
        <w:rPr>
          <w:rFonts w:ascii="Gothic720 BT" w:hAnsi="Gothic720 BT"/>
        </w:rPr>
        <w:t xml:space="preserve"> efectos en términos de la normatividad aplicable. </w:t>
      </w:r>
    </w:p>
    <w:p w14:paraId="532B0E80" w14:textId="77777777" w:rsidR="006D7CFE" w:rsidRPr="00BC2278" w:rsidRDefault="006D7CFE" w:rsidP="006D7CFE">
      <w:pPr>
        <w:ind w:left="720"/>
        <w:contextualSpacing/>
        <w:rPr>
          <w:rFonts w:ascii="Gothic720 BT" w:hAnsi="Gothic720 BT"/>
        </w:rPr>
      </w:pPr>
    </w:p>
    <w:p w14:paraId="35D81C04" w14:textId="5FC5E8E9" w:rsidR="006D7CFE" w:rsidRPr="00BC2278" w:rsidRDefault="006D7CFE" w:rsidP="006D7CFE">
      <w:pPr>
        <w:numPr>
          <w:ilvl w:val="0"/>
          <w:numId w:val="10"/>
        </w:numPr>
        <w:tabs>
          <w:tab w:val="left" w:pos="567"/>
        </w:tabs>
        <w:ind w:left="567" w:hanging="425"/>
        <w:contextualSpacing/>
        <w:jc w:val="both"/>
        <w:rPr>
          <w:rFonts w:ascii="Gothic720 BT" w:hAnsi="Gothic720 BT"/>
        </w:rPr>
      </w:pPr>
      <w:r w:rsidRPr="00BC2278">
        <w:rPr>
          <w:rFonts w:ascii="Gothic720 BT" w:hAnsi="Gothic720 BT"/>
        </w:rPr>
        <w:t xml:space="preserve">Cuando el Instituto haya realizado uno </w:t>
      </w:r>
      <w:r w:rsidR="00542958" w:rsidRPr="00BC2278">
        <w:rPr>
          <w:rFonts w:ascii="Gothic720 BT" w:hAnsi="Gothic720 BT"/>
        </w:rPr>
        <w:t>previo para</w:t>
      </w:r>
      <w:r w:rsidRPr="00BC2278">
        <w:rPr>
          <w:rFonts w:ascii="Gothic720 BT" w:hAnsi="Gothic720 BT"/>
        </w:rPr>
        <w:t xml:space="preserve"> otra campaña con objetivos y metas afines o lo tenga programado. </w:t>
      </w:r>
    </w:p>
    <w:p w14:paraId="3EB7A549" w14:textId="77777777" w:rsidR="006D7CFE" w:rsidRPr="00BC2278" w:rsidRDefault="006D7CFE" w:rsidP="006D7CFE">
      <w:pPr>
        <w:ind w:left="720"/>
        <w:contextualSpacing/>
        <w:rPr>
          <w:rFonts w:ascii="Gothic720 BT" w:hAnsi="Gothic720 BT"/>
        </w:rPr>
      </w:pPr>
    </w:p>
    <w:p w14:paraId="264CC793" w14:textId="3B2D23F4" w:rsidR="006D7CFE" w:rsidRPr="00BC2278" w:rsidRDefault="006D7CFE" w:rsidP="006D7CFE">
      <w:pPr>
        <w:numPr>
          <w:ilvl w:val="0"/>
          <w:numId w:val="10"/>
        </w:numPr>
        <w:tabs>
          <w:tab w:val="left" w:pos="567"/>
        </w:tabs>
        <w:ind w:left="567" w:hanging="425"/>
        <w:contextualSpacing/>
        <w:jc w:val="both"/>
        <w:rPr>
          <w:rFonts w:ascii="Gothic720 BT" w:hAnsi="Gothic720 BT"/>
        </w:rPr>
      </w:pPr>
      <w:r w:rsidRPr="00BC2278">
        <w:rPr>
          <w:rFonts w:ascii="Gothic720 BT" w:hAnsi="Gothic720 BT"/>
        </w:rPr>
        <w:t>Cuando el Instituto haya previsto la realización de la Campaña de Comunicación Social en conjunto con alguna otra entidad o entidades</w:t>
      </w:r>
      <w:r w:rsidR="00D371B7" w:rsidRPr="00BC2278">
        <w:rPr>
          <w:rFonts w:ascii="Gothic720 BT" w:hAnsi="Gothic720 BT"/>
        </w:rPr>
        <w:t xml:space="preserve"> y</w:t>
      </w:r>
      <w:r w:rsidRPr="00BC2278">
        <w:rPr>
          <w:rFonts w:ascii="Gothic720 BT" w:hAnsi="Gothic720 BT"/>
        </w:rPr>
        <w:t xml:space="preserve"> se señal</w:t>
      </w:r>
      <w:r w:rsidR="009E1349" w:rsidRPr="00BC2278">
        <w:rPr>
          <w:rFonts w:ascii="Gothic720 BT" w:hAnsi="Gothic720 BT"/>
        </w:rPr>
        <w:t>e que</w:t>
      </w:r>
      <w:r w:rsidRPr="00BC2278">
        <w:rPr>
          <w:rFonts w:ascii="Gothic720 BT" w:hAnsi="Gothic720 BT"/>
        </w:rPr>
        <w:t xml:space="preserve"> </w:t>
      </w:r>
      <w:r w:rsidR="009E1349" w:rsidRPr="00BC2278">
        <w:rPr>
          <w:rFonts w:ascii="Gothic720 BT" w:hAnsi="Gothic720 BT"/>
        </w:rPr>
        <w:t>los</w:t>
      </w:r>
      <w:r w:rsidRPr="00BC2278">
        <w:rPr>
          <w:rFonts w:ascii="Gothic720 BT" w:hAnsi="Gothic720 BT"/>
        </w:rPr>
        <w:t xml:space="preserve"> estudio</w:t>
      </w:r>
      <w:r w:rsidR="009E1349" w:rsidRPr="00BC2278">
        <w:rPr>
          <w:rFonts w:ascii="Gothic720 BT" w:hAnsi="Gothic720 BT"/>
        </w:rPr>
        <w:t xml:space="preserve">s </w:t>
      </w:r>
      <w:r w:rsidR="007B1A4C" w:rsidRPr="00BC2278">
        <w:rPr>
          <w:rFonts w:ascii="Gothic720 BT" w:hAnsi="Gothic720 BT"/>
        </w:rPr>
        <w:t xml:space="preserve">no </w:t>
      </w:r>
      <w:r w:rsidR="009E1349" w:rsidRPr="00BC2278">
        <w:rPr>
          <w:rFonts w:ascii="Gothic720 BT" w:hAnsi="Gothic720 BT"/>
        </w:rPr>
        <w:t>corr</w:t>
      </w:r>
      <w:r w:rsidR="00D371B7" w:rsidRPr="00BC2278">
        <w:rPr>
          <w:rFonts w:ascii="Gothic720 BT" w:hAnsi="Gothic720 BT"/>
        </w:rPr>
        <w:t>erán</w:t>
      </w:r>
      <w:r w:rsidR="009E1349" w:rsidRPr="00BC2278">
        <w:rPr>
          <w:rFonts w:ascii="Gothic720 BT" w:hAnsi="Gothic720 BT"/>
        </w:rPr>
        <w:t xml:space="preserve"> a cargo </w:t>
      </w:r>
      <w:r w:rsidR="007B1A4C" w:rsidRPr="00BC2278">
        <w:rPr>
          <w:rFonts w:ascii="Gothic720 BT" w:hAnsi="Gothic720 BT"/>
        </w:rPr>
        <w:t>del Instituto</w:t>
      </w:r>
      <w:r w:rsidRPr="00BC2278">
        <w:rPr>
          <w:rFonts w:ascii="Gothic720 BT" w:hAnsi="Gothic720 BT"/>
        </w:rPr>
        <w:t xml:space="preserve">. </w:t>
      </w:r>
    </w:p>
    <w:p w14:paraId="0DE6A90E" w14:textId="5577F4B9" w:rsidR="00AE2EE1" w:rsidRPr="00BC2278" w:rsidRDefault="006D7CFE" w:rsidP="00692572">
      <w:pPr>
        <w:pStyle w:val="Ttulo1"/>
        <w:jc w:val="center"/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</w:pPr>
      <w:bookmarkStart w:id="27" w:name="_Toc132727323"/>
      <w:r w:rsidRPr="00BC2278">
        <w:rPr>
          <w:rFonts w:ascii="Gothic720 BT" w:eastAsiaTheme="minorHAnsi" w:hAnsi="Gothic720 BT" w:cstheme="minorBidi"/>
          <w:b/>
          <w:bCs/>
          <w:color w:val="auto"/>
          <w:sz w:val="22"/>
          <w:szCs w:val="22"/>
        </w:rPr>
        <w:t>Transitorios</w:t>
      </w:r>
      <w:bookmarkEnd w:id="27"/>
    </w:p>
    <w:p w14:paraId="40D3E54F" w14:textId="77777777" w:rsidR="0076652F" w:rsidRPr="00BC2278" w:rsidRDefault="0076652F" w:rsidP="0076652F"/>
    <w:p w14:paraId="38CB68B0" w14:textId="6730A172" w:rsidR="00276D72" w:rsidRPr="00BC2278" w:rsidRDefault="00276D72" w:rsidP="00276D72">
      <w:pPr>
        <w:tabs>
          <w:tab w:val="left" w:pos="284"/>
        </w:tabs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>Primero</w:t>
      </w:r>
      <w:r w:rsidRPr="00BC2278">
        <w:rPr>
          <w:rFonts w:ascii="Gothic720 BT" w:hAnsi="Gothic720 BT"/>
        </w:rPr>
        <w:t>. Los presentes Lineamientos entrarán en vigor una vez aprobados por el Consejo General del Instituto Electoral del Estado de Querétaro.</w:t>
      </w:r>
    </w:p>
    <w:p w14:paraId="7F422FE2" w14:textId="5C8D3A10" w:rsidR="00BA3DA8" w:rsidRPr="00F16A18" w:rsidRDefault="00276D72" w:rsidP="00276D72">
      <w:pPr>
        <w:tabs>
          <w:tab w:val="left" w:pos="284"/>
        </w:tabs>
        <w:jc w:val="both"/>
        <w:rPr>
          <w:rFonts w:ascii="Gothic720 BT" w:hAnsi="Gothic720 BT"/>
        </w:rPr>
      </w:pPr>
      <w:r w:rsidRPr="00BC2278">
        <w:rPr>
          <w:rFonts w:ascii="Gothic720 BT" w:hAnsi="Gothic720 BT"/>
          <w:b/>
          <w:bCs/>
        </w:rPr>
        <w:t>Segundo.</w:t>
      </w:r>
      <w:r w:rsidRPr="00BC2278">
        <w:rPr>
          <w:rFonts w:ascii="Gothic720 BT" w:hAnsi="Gothic720 BT"/>
        </w:rPr>
        <w:t xml:space="preserve"> Se ordena la publicación de los presentes Lineamientos en el Periódico Oficial del Gobierno del Estado de Querétaro “La Sombra de Arteaga” y en el sitio de </w:t>
      </w:r>
      <w:r w:rsidR="00555F6E" w:rsidRPr="00BC2278">
        <w:rPr>
          <w:rFonts w:ascii="Gothic720 BT" w:hAnsi="Gothic720 BT"/>
        </w:rPr>
        <w:t>I</w:t>
      </w:r>
      <w:r w:rsidRPr="00BC2278">
        <w:rPr>
          <w:rFonts w:ascii="Gothic720 BT" w:hAnsi="Gothic720 BT"/>
        </w:rPr>
        <w:t>nternet del Instituto.</w:t>
      </w:r>
    </w:p>
    <w:p w14:paraId="65BFCB44" w14:textId="77777777" w:rsidR="005F00C6" w:rsidRPr="00AE2EE1" w:rsidRDefault="005F00C6" w:rsidP="00276D72">
      <w:pPr>
        <w:tabs>
          <w:tab w:val="left" w:pos="284"/>
        </w:tabs>
        <w:jc w:val="both"/>
        <w:rPr>
          <w:rFonts w:ascii="Gothic720 BT" w:hAnsi="Gothic720 BT"/>
        </w:rPr>
      </w:pPr>
    </w:p>
    <w:sectPr w:rsidR="005F00C6" w:rsidRPr="00AE2EE1" w:rsidSect="00160686">
      <w:footerReference w:type="default" r:id="rId8"/>
      <w:pgSz w:w="12240" w:h="15840"/>
      <w:pgMar w:top="1417" w:right="1701" w:bottom="1417" w:left="1701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00476" w14:textId="77777777" w:rsidR="000E0DEE" w:rsidRDefault="000E0DEE" w:rsidP="00160686">
      <w:pPr>
        <w:spacing w:after="0" w:line="240" w:lineRule="auto"/>
      </w:pPr>
      <w:r>
        <w:separator/>
      </w:r>
    </w:p>
  </w:endnote>
  <w:endnote w:type="continuationSeparator" w:id="0">
    <w:p w14:paraId="6F6066A9" w14:textId="77777777" w:rsidR="000E0DEE" w:rsidRDefault="000E0DEE" w:rsidP="0016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 w:cs="Times New Roman"/>
      </w:rPr>
      <w:id w:val="-765080051"/>
      <w:docPartObj>
        <w:docPartGallery w:val="Page Numbers (Bottom of Page)"/>
        <w:docPartUnique/>
      </w:docPartObj>
    </w:sdtPr>
    <w:sdtEndPr>
      <w:rPr>
        <w:rFonts w:ascii="Gothic720 BT" w:eastAsiaTheme="majorEastAsia" w:hAnsi="Gothic720 BT" w:cstheme="majorBidi"/>
      </w:rPr>
    </w:sdtEndPr>
    <w:sdtContent>
      <w:p w14:paraId="77E89CF5" w14:textId="50E7D715" w:rsidR="00E721F4" w:rsidRPr="00E721F4" w:rsidRDefault="00E721F4">
        <w:pPr>
          <w:pStyle w:val="Piedepgina"/>
          <w:jc w:val="right"/>
          <w:rPr>
            <w:rFonts w:ascii="Gothic720 BT" w:eastAsiaTheme="majorEastAsia" w:hAnsi="Gothic720 BT" w:cstheme="majorBidi"/>
          </w:rPr>
        </w:pPr>
        <w:r w:rsidRPr="00E721F4">
          <w:rPr>
            <w:rFonts w:ascii="Gothic720 BT" w:eastAsiaTheme="minorEastAsia" w:hAnsi="Gothic720 BT" w:cs="Times New Roman"/>
          </w:rPr>
          <w:fldChar w:fldCharType="begin"/>
        </w:r>
        <w:r w:rsidRPr="00E721F4">
          <w:rPr>
            <w:rFonts w:ascii="Gothic720 BT" w:hAnsi="Gothic720 BT"/>
          </w:rPr>
          <w:instrText>PAGE   \* MERGEFORMAT</w:instrText>
        </w:r>
        <w:r w:rsidRPr="00E721F4">
          <w:rPr>
            <w:rFonts w:ascii="Gothic720 BT" w:eastAsiaTheme="minorEastAsia" w:hAnsi="Gothic720 BT" w:cs="Times New Roman"/>
          </w:rPr>
          <w:fldChar w:fldCharType="separate"/>
        </w:r>
        <w:r w:rsidRPr="00E721F4">
          <w:rPr>
            <w:rFonts w:ascii="Gothic720 BT" w:eastAsiaTheme="majorEastAsia" w:hAnsi="Gothic720 BT" w:cstheme="majorBidi"/>
            <w:lang w:val="es-ES"/>
          </w:rPr>
          <w:t>2</w:t>
        </w:r>
        <w:r w:rsidRPr="00E721F4">
          <w:rPr>
            <w:rFonts w:ascii="Gothic720 BT" w:eastAsiaTheme="majorEastAsia" w:hAnsi="Gothic720 BT" w:cstheme="majorBidi"/>
          </w:rPr>
          <w:fldChar w:fldCharType="end"/>
        </w:r>
      </w:p>
    </w:sdtContent>
  </w:sdt>
  <w:p w14:paraId="507C6210" w14:textId="77777777" w:rsidR="00160686" w:rsidRDefault="001606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C69D" w14:textId="77777777" w:rsidR="000E0DEE" w:rsidRDefault="000E0DEE" w:rsidP="00160686">
      <w:pPr>
        <w:spacing w:after="0" w:line="240" w:lineRule="auto"/>
      </w:pPr>
      <w:r>
        <w:separator/>
      </w:r>
    </w:p>
  </w:footnote>
  <w:footnote w:type="continuationSeparator" w:id="0">
    <w:p w14:paraId="69BDB5C5" w14:textId="77777777" w:rsidR="000E0DEE" w:rsidRDefault="000E0DEE" w:rsidP="0016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DB7"/>
    <w:multiLevelType w:val="hybridMultilevel"/>
    <w:tmpl w:val="75EA1C36"/>
    <w:lvl w:ilvl="0" w:tplc="99EA196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3F72"/>
    <w:multiLevelType w:val="hybridMultilevel"/>
    <w:tmpl w:val="FAAE706E"/>
    <w:lvl w:ilvl="0" w:tplc="B9D6CD0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890"/>
    <w:multiLevelType w:val="hybridMultilevel"/>
    <w:tmpl w:val="FBC0A95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F7261"/>
    <w:multiLevelType w:val="hybridMultilevel"/>
    <w:tmpl w:val="E9CAAA88"/>
    <w:lvl w:ilvl="0" w:tplc="A998AD1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453F1"/>
    <w:multiLevelType w:val="hybridMultilevel"/>
    <w:tmpl w:val="7D906FCE"/>
    <w:lvl w:ilvl="0" w:tplc="8F34603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B559F"/>
    <w:multiLevelType w:val="hybridMultilevel"/>
    <w:tmpl w:val="DA00E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15135"/>
    <w:multiLevelType w:val="hybridMultilevel"/>
    <w:tmpl w:val="9A204826"/>
    <w:lvl w:ilvl="0" w:tplc="5846F67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90053"/>
    <w:multiLevelType w:val="hybridMultilevel"/>
    <w:tmpl w:val="CBBEEBF6"/>
    <w:lvl w:ilvl="0" w:tplc="C3E83EA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F7495"/>
    <w:multiLevelType w:val="hybridMultilevel"/>
    <w:tmpl w:val="25688C3E"/>
    <w:lvl w:ilvl="0" w:tplc="9EB27FB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50265"/>
    <w:multiLevelType w:val="hybridMultilevel"/>
    <w:tmpl w:val="5D4A3C40"/>
    <w:lvl w:ilvl="0" w:tplc="EDA6927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86460">
    <w:abstractNumId w:val="6"/>
  </w:num>
  <w:num w:numId="2" w16cid:durableId="1808469054">
    <w:abstractNumId w:val="8"/>
  </w:num>
  <w:num w:numId="3" w16cid:durableId="706179618">
    <w:abstractNumId w:val="5"/>
  </w:num>
  <w:num w:numId="4" w16cid:durableId="264582807">
    <w:abstractNumId w:val="0"/>
  </w:num>
  <w:num w:numId="5" w16cid:durableId="2050300919">
    <w:abstractNumId w:val="4"/>
  </w:num>
  <w:num w:numId="6" w16cid:durableId="1094088705">
    <w:abstractNumId w:val="2"/>
  </w:num>
  <w:num w:numId="7" w16cid:durableId="1325469495">
    <w:abstractNumId w:val="9"/>
  </w:num>
  <w:num w:numId="8" w16cid:durableId="791830447">
    <w:abstractNumId w:val="1"/>
  </w:num>
  <w:num w:numId="9" w16cid:durableId="367880327">
    <w:abstractNumId w:val="3"/>
  </w:num>
  <w:num w:numId="10" w16cid:durableId="1885555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31"/>
    <w:rsid w:val="00022226"/>
    <w:rsid w:val="0005240A"/>
    <w:rsid w:val="000575E1"/>
    <w:rsid w:val="00061A90"/>
    <w:rsid w:val="000621C5"/>
    <w:rsid w:val="00062765"/>
    <w:rsid w:val="00066BC1"/>
    <w:rsid w:val="00071401"/>
    <w:rsid w:val="000A78BA"/>
    <w:rsid w:val="000C2AED"/>
    <w:rsid w:val="000C485A"/>
    <w:rsid w:val="000C770E"/>
    <w:rsid w:val="000D22A3"/>
    <w:rsid w:val="000D5A07"/>
    <w:rsid w:val="000E0DEE"/>
    <w:rsid w:val="000F512F"/>
    <w:rsid w:val="00103A51"/>
    <w:rsid w:val="0011078A"/>
    <w:rsid w:val="00114862"/>
    <w:rsid w:val="0011560C"/>
    <w:rsid w:val="00126400"/>
    <w:rsid w:val="00137A03"/>
    <w:rsid w:val="00145F92"/>
    <w:rsid w:val="00146126"/>
    <w:rsid w:val="00147CD2"/>
    <w:rsid w:val="00151050"/>
    <w:rsid w:val="00160686"/>
    <w:rsid w:val="00172CC7"/>
    <w:rsid w:val="00181EF3"/>
    <w:rsid w:val="00184F89"/>
    <w:rsid w:val="00187E6D"/>
    <w:rsid w:val="00193491"/>
    <w:rsid w:val="001A29C7"/>
    <w:rsid w:val="001B15A2"/>
    <w:rsid w:val="001B451E"/>
    <w:rsid w:val="001B5617"/>
    <w:rsid w:val="001B7240"/>
    <w:rsid w:val="001B78A0"/>
    <w:rsid w:val="001C1397"/>
    <w:rsid w:val="001C4036"/>
    <w:rsid w:val="001D2A76"/>
    <w:rsid w:val="001F1954"/>
    <w:rsid w:val="00202187"/>
    <w:rsid w:val="002110C2"/>
    <w:rsid w:val="00211D91"/>
    <w:rsid w:val="00217CDC"/>
    <w:rsid w:val="00220BD0"/>
    <w:rsid w:val="00224147"/>
    <w:rsid w:val="00226CD3"/>
    <w:rsid w:val="002370D6"/>
    <w:rsid w:val="00243267"/>
    <w:rsid w:val="0025114D"/>
    <w:rsid w:val="00261D7A"/>
    <w:rsid w:val="00264566"/>
    <w:rsid w:val="00276D72"/>
    <w:rsid w:val="002B791C"/>
    <w:rsid w:val="002C28D3"/>
    <w:rsid w:val="002C74D8"/>
    <w:rsid w:val="002D4F0E"/>
    <w:rsid w:val="002F612A"/>
    <w:rsid w:val="00300A46"/>
    <w:rsid w:val="00326CB6"/>
    <w:rsid w:val="00327EB1"/>
    <w:rsid w:val="00330F66"/>
    <w:rsid w:val="00332745"/>
    <w:rsid w:val="00342D01"/>
    <w:rsid w:val="00350AF7"/>
    <w:rsid w:val="0037283C"/>
    <w:rsid w:val="00373687"/>
    <w:rsid w:val="00380338"/>
    <w:rsid w:val="003A099A"/>
    <w:rsid w:val="003E017F"/>
    <w:rsid w:val="00402051"/>
    <w:rsid w:val="0041184D"/>
    <w:rsid w:val="00420C43"/>
    <w:rsid w:val="00422535"/>
    <w:rsid w:val="004227FF"/>
    <w:rsid w:val="00426015"/>
    <w:rsid w:val="00431850"/>
    <w:rsid w:val="00442E7E"/>
    <w:rsid w:val="00444070"/>
    <w:rsid w:val="00444137"/>
    <w:rsid w:val="00450AA2"/>
    <w:rsid w:val="004901C3"/>
    <w:rsid w:val="00496CDA"/>
    <w:rsid w:val="004B073B"/>
    <w:rsid w:val="004B7063"/>
    <w:rsid w:val="004B73DF"/>
    <w:rsid w:val="004C5919"/>
    <w:rsid w:val="004C5D61"/>
    <w:rsid w:val="004C6F82"/>
    <w:rsid w:val="004E6BEE"/>
    <w:rsid w:val="005040F2"/>
    <w:rsid w:val="00521571"/>
    <w:rsid w:val="00521D31"/>
    <w:rsid w:val="005229B0"/>
    <w:rsid w:val="00542958"/>
    <w:rsid w:val="00555F6E"/>
    <w:rsid w:val="005609FF"/>
    <w:rsid w:val="00574BE0"/>
    <w:rsid w:val="00576281"/>
    <w:rsid w:val="005874DF"/>
    <w:rsid w:val="005B2347"/>
    <w:rsid w:val="005B4094"/>
    <w:rsid w:val="005C121C"/>
    <w:rsid w:val="005C70AF"/>
    <w:rsid w:val="005E332C"/>
    <w:rsid w:val="005F00C6"/>
    <w:rsid w:val="005F07DD"/>
    <w:rsid w:val="006107C3"/>
    <w:rsid w:val="00617911"/>
    <w:rsid w:val="006222EF"/>
    <w:rsid w:val="006471BE"/>
    <w:rsid w:val="00651C9F"/>
    <w:rsid w:val="00660884"/>
    <w:rsid w:val="00692572"/>
    <w:rsid w:val="006C6C61"/>
    <w:rsid w:val="006D3D8B"/>
    <w:rsid w:val="006D697D"/>
    <w:rsid w:val="006D7CFE"/>
    <w:rsid w:val="006E60D8"/>
    <w:rsid w:val="006F7808"/>
    <w:rsid w:val="00701558"/>
    <w:rsid w:val="00704F8E"/>
    <w:rsid w:val="007170C4"/>
    <w:rsid w:val="00717CCB"/>
    <w:rsid w:val="00721002"/>
    <w:rsid w:val="00732D88"/>
    <w:rsid w:val="0076652F"/>
    <w:rsid w:val="00770AF9"/>
    <w:rsid w:val="00771EB1"/>
    <w:rsid w:val="007731EB"/>
    <w:rsid w:val="007B1A4C"/>
    <w:rsid w:val="007C7A20"/>
    <w:rsid w:val="007D10C2"/>
    <w:rsid w:val="007D6BA2"/>
    <w:rsid w:val="007E2130"/>
    <w:rsid w:val="007E5D5D"/>
    <w:rsid w:val="007F0E85"/>
    <w:rsid w:val="007F7B98"/>
    <w:rsid w:val="007F7D12"/>
    <w:rsid w:val="00801D9C"/>
    <w:rsid w:val="00803967"/>
    <w:rsid w:val="00810243"/>
    <w:rsid w:val="00815544"/>
    <w:rsid w:val="00816960"/>
    <w:rsid w:val="00816E64"/>
    <w:rsid w:val="0082230C"/>
    <w:rsid w:val="00832608"/>
    <w:rsid w:val="00844599"/>
    <w:rsid w:val="00850C3D"/>
    <w:rsid w:val="008564A0"/>
    <w:rsid w:val="00862473"/>
    <w:rsid w:val="00864981"/>
    <w:rsid w:val="0087656C"/>
    <w:rsid w:val="00887B11"/>
    <w:rsid w:val="00892697"/>
    <w:rsid w:val="00895AAB"/>
    <w:rsid w:val="008A1F22"/>
    <w:rsid w:val="008C6D76"/>
    <w:rsid w:val="008E6C75"/>
    <w:rsid w:val="00900173"/>
    <w:rsid w:val="009032E3"/>
    <w:rsid w:val="00912A2A"/>
    <w:rsid w:val="00920CE9"/>
    <w:rsid w:val="00922DDF"/>
    <w:rsid w:val="00926995"/>
    <w:rsid w:val="00935CC4"/>
    <w:rsid w:val="00984667"/>
    <w:rsid w:val="009B1E71"/>
    <w:rsid w:val="009B3614"/>
    <w:rsid w:val="009B46A0"/>
    <w:rsid w:val="009C18C1"/>
    <w:rsid w:val="009C2C7C"/>
    <w:rsid w:val="009C7068"/>
    <w:rsid w:val="009D6091"/>
    <w:rsid w:val="009E1349"/>
    <w:rsid w:val="009E3D21"/>
    <w:rsid w:val="009E5D68"/>
    <w:rsid w:val="009F14F4"/>
    <w:rsid w:val="009F3ECE"/>
    <w:rsid w:val="009F541F"/>
    <w:rsid w:val="00A4070D"/>
    <w:rsid w:val="00A43DD9"/>
    <w:rsid w:val="00A56A31"/>
    <w:rsid w:val="00A943E7"/>
    <w:rsid w:val="00A97E12"/>
    <w:rsid w:val="00A97EA5"/>
    <w:rsid w:val="00AA2637"/>
    <w:rsid w:val="00AB4665"/>
    <w:rsid w:val="00AC3D97"/>
    <w:rsid w:val="00AD5ED8"/>
    <w:rsid w:val="00AE19F5"/>
    <w:rsid w:val="00AE2EE1"/>
    <w:rsid w:val="00AE72ED"/>
    <w:rsid w:val="00AF6DAF"/>
    <w:rsid w:val="00B171B7"/>
    <w:rsid w:val="00B22232"/>
    <w:rsid w:val="00B22249"/>
    <w:rsid w:val="00B222E7"/>
    <w:rsid w:val="00B24159"/>
    <w:rsid w:val="00B32A91"/>
    <w:rsid w:val="00B42135"/>
    <w:rsid w:val="00B42CC3"/>
    <w:rsid w:val="00B448DF"/>
    <w:rsid w:val="00B5025C"/>
    <w:rsid w:val="00B60CCD"/>
    <w:rsid w:val="00B70F11"/>
    <w:rsid w:val="00B742EA"/>
    <w:rsid w:val="00BA3DA8"/>
    <w:rsid w:val="00BC2278"/>
    <w:rsid w:val="00BD482E"/>
    <w:rsid w:val="00BE0DDC"/>
    <w:rsid w:val="00BE32D1"/>
    <w:rsid w:val="00BF0F8F"/>
    <w:rsid w:val="00BF2448"/>
    <w:rsid w:val="00C06DFE"/>
    <w:rsid w:val="00C1737D"/>
    <w:rsid w:val="00C226BA"/>
    <w:rsid w:val="00C24DDE"/>
    <w:rsid w:val="00C31109"/>
    <w:rsid w:val="00C3140D"/>
    <w:rsid w:val="00C461BB"/>
    <w:rsid w:val="00C550CD"/>
    <w:rsid w:val="00C553D5"/>
    <w:rsid w:val="00C57F78"/>
    <w:rsid w:val="00C67CBE"/>
    <w:rsid w:val="00C729A6"/>
    <w:rsid w:val="00C72FCB"/>
    <w:rsid w:val="00C75BB8"/>
    <w:rsid w:val="00C92177"/>
    <w:rsid w:val="00C95E9B"/>
    <w:rsid w:val="00CF1FD5"/>
    <w:rsid w:val="00D02373"/>
    <w:rsid w:val="00D31069"/>
    <w:rsid w:val="00D342DB"/>
    <w:rsid w:val="00D371B7"/>
    <w:rsid w:val="00D40160"/>
    <w:rsid w:val="00D556B9"/>
    <w:rsid w:val="00D56AB6"/>
    <w:rsid w:val="00D5753D"/>
    <w:rsid w:val="00D669B8"/>
    <w:rsid w:val="00D762AA"/>
    <w:rsid w:val="00D77DEF"/>
    <w:rsid w:val="00D8410A"/>
    <w:rsid w:val="00D97F83"/>
    <w:rsid w:val="00DC24DB"/>
    <w:rsid w:val="00DC3FBF"/>
    <w:rsid w:val="00DC5E4C"/>
    <w:rsid w:val="00DE39CB"/>
    <w:rsid w:val="00E14B7E"/>
    <w:rsid w:val="00E162B1"/>
    <w:rsid w:val="00E25D6E"/>
    <w:rsid w:val="00E31000"/>
    <w:rsid w:val="00E32051"/>
    <w:rsid w:val="00E4377A"/>
    <w:rsid w:val="00E54ECD"/>
    <w:rsid w:val="00E64754"/>
    <w:rsid w:val="00E66B87"/>
    <w:rsid w:val="00E70096"/>
    <w:rsid w:val="00E71184"/>
    <w:rsid w:val="00E721F4"/>
    <w:rsid w:val="00E801A3"/>
    <w:rsid w:val="00E82533"/>
    <w:rsid w:val="00EA0926"/>
    <w:rsid w:val="00EB13EA"/>
    <w:rsid w:val="00EB2BB6"/>
    <w:rsid w:val="00EB330B"/>
    <w:rsid w:val="00EC2A72"/>
    <w:rsid w:val="00EC631F"/>
    <w:rsid w:val="00ED2483"/>
    <w:rsid w:val="00EE3F81"/>
    <w:rsid w:val="00EE4140"/>
    <w:rsid w:val="00EE7418"/>
    <w:rsid w:val="00F0567A"/>
    <w:rsid w:val="00F16A18"/>
    <w:rsid w:val="00F258BA"/>
    <w:rsid w:val="00F26A48"/>
    <w:rsid w:val="00F27D2D"/>
    <w:rsid w:val="00F312A9"/>
    <w:rsid w:val="00F315F9"/>
    <w:rsid w:val="00F548D4"/>
    <w:rsid w:val="00F56E28"/>
    <w:rsid w:val="00F60AEE"/>
    <w:rsid w:val="00F61CFD"/>
    <w:rsid w:val="00F63A34"/>
    <w:rsid w:val="00F663B5"/>
    <w:rsid w:val="00F70A0A"/>
    <w:rsid w:val="00F84973"/>
    <w:rsid w:val="00F9282E"/>
    <w:rsid w:val="00FA29D2"/>
    <w:rsid w:val="00FA31EB"/>
    <w:rsid w:val="00FA3A6D"/>
    <w:rsid w:val="00FC5BAE"/>
    <w:rsid w:val="00F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BAEAF"/>
  <w15:docId w15:val="{91F78FAC-D0ED-4550-BC3F-CFBB495A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686"/>
  </w:style>
  <w:style w:type="paragraph" w:styleId="Ttulo1">
    <w:name w:val="heading 1"/>
    <w:basedOn w:val="Normal"/>
    <w:next w:val="Normal"/>
    <w:link w:val="Ttulo1Car"/>
    <w:uiPriority w:val="9"/>
    <w:qFormat/>
    <w:rsid w:val="00692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25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512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0686"/>
  </w:style>
  <w:style w:type="paragraph" w:styleId="Piedepgina">
    <w:name w:val="footer"/>
    <w:basedOn w:val="Normal"/>
    <w:link w:val="PiedepginaCar"/>
    <w:uiPriority w:val="99"/>
    <w:unhideWhenUsed/>
    <w:rsid w:val="001606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0686"/>
  </w:style>
  <w:style w:type="character" w:customStyle="1" w:styleId="Ttulo1Car">
    <w:name w:val="Título 1 Car"/>
    <w:basedOn w:val="Fuentedeprrafopredeter"/>
    <w:link w:val="Ttulo1"/>
    <w:uiPriority w:val="9"/>
    <w:rsid w:val="00692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925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692572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126400"/>
    <w:pPr>
      <w:tabs>
        <w:tab w:val="right" w:leader="hyphen" w:pos="8828"/>
      </w:tabs>
      <w:spacing w:after="0"/>
    </w:pPr>
    <w:rPr>
      <w:rFonts w:ascii="Gothic720 BT" w:hAnsi="Gothic720 BT" w:cstheme="minorHAnsi"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895AAB"/>
    <w:pPr>
      <w:tabs>
        <w:tab w:val="right" w:leader="hyphen" w:pos="8828"/>
      </w:tabs>
      <w:spacing w:after="0"/>
      <w:ind w:left="220"/>
    </w:pPr>
    <w:rPr>
      <w:rFonts w:ascii="Gothic720 BT" w:hAnsi="Gothic720 BT" w:cstheme="minorHAnsi"/>
      <w:b/>
      <w:bCs/>
      <w:noProof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92572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692572"/>
    <w:pPr>
      <w:spacing w:after="0"/>
      <w:ind w:left="440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DC24DB"/>
    <w:pPr>
      <w:spacing w:after="0"/>
      <w:ind w:left="66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DC24DB"/>
    <w:pPr>
      <w:spacing w:after="0"/>
      <w:ind w:left="88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DC24DB"/>
    <w:pPr>
      <w:spacing w:after="0"/>
      <w:ind w:left="110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DC24DB"/>
    <w:pPr>
      <w:spacing w:after="0"/>
      <w:ind w:left="132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DC24DB"/>
    <w:pPr>
      <w:spacing w:after="0"/>
      <w:ind w:left="154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DC24DB"/>
    <w:pPr>
      <w:spacing w:after="0"/>
      <w:ind w:left="1760"/>
    </w:pPr>
    <w:rPr>
      <w:rFonts w:cstheme="minorHAnsi"/>
      <w:sz w:val="20"/>
      <w:szCs w:val="20"/>
    </w:rPr>
  </w:style>
  <w:style w:type="table" w:styleId="Tablaconcuadrcula">
    <w:name w:val="Table Grid"/>
    <w:basedOn w:val="Tablanormal"/>
    <w:uiPriority w:val="39"/>
    <w:rsid w:val="005F00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C5155-FFAB-47C1-8CD4-52564818D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2151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Daniela Quevedo Ramírez</dc:creator>
  <cp:keywords/>
  <dc:description/>
  <cp:lastModifiedBy>Martha Daniela Quevedo Ramírez</cp:lastModifiedBy>
  <cp:revision>3</cp:revision>
  <cp:lastPrinted>2023-05-02T21:22:00Z</cp:lastPrinted>
  <dcterms:created xsi:type="dcterms:W3CDTF">2023-05-02T21:21:00Z</dcterms:created>
  <dcterms:modified xsi:type="dcterms:W3CDTF">2023-05-02T21:22:00Z</dcterms:modified>
</cp:coreProperties>
</file>