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38" w:rsidRPr="00E26EF9" w:rsidRDefault="00F13238" w:rsidP="00E470E3">
      <w:pPr>
        <w:pStyle w:val="Sangradetextonormal"/>
        <w:ind w:left="0"/>
        <w:jc w:val="center"/>
      </w:pPr>
      <w:r w:rsidRPr="00E26EF9">
        <w:t>LINEAMIENTOS PARA LA UTILIZACIÓN DE LAS TECNOLOGÍAS DE LA INFORMACIÓN Y COMUNICACIONES DEL INSTITUTO ELECTORAL DEL ESTADO DE QUERÉTARO</w:t>
      </w:r>
    </w:p>
    <w:p w:rsidR="00353860" w:rsidRPr="00E26EF9" w:rsidRDefault="00353860" w:rsidP="00E470E3">
      <w:pPr>
        <w:spacing w:after="0"/>
        <w:jc w:val="both"/>
        <w:rPr>
          <w:rFonts w:ascii="Gothic720 BT" w:eastAsia="Times New Roman" w:hAnsi="Gothic720 BT" w:cs="Times New Roman"/>
          <w:lang w:eastAsia="es-MX"/>
        </w:rPr>
      </w:pPr>
    </w:p>
    <w:p w:rsidR="00F13238" w:rsidRPr="00E26EF9" w:rsidRDefault="00F13238" w:rsidP="00E470E3">
      <w:pPr>
        <w:spacing w:after="0"/>
        <w:jc w:val="center"/>
        <w:rPr>
          <w:rFonts w:ascii="Gothic720 BT" w:eastAsia="Times New Roman" w:hAnsi="Gothic720 BT" w:cs="Times New Roman"/>
          <w:b/>
          <w:lang w:eastAsia="es-MX"/>
        </w:rPr>
      </w:pPr>
      <w:r w:rsidRPr="00E26EF9">
        <w:rPr>
          <w:rFonts w:ascii="Gothic720 BT" w:eastAsia="Times New Roman" w:hAnsi="Gothic720 BT" w:cs="Times New Roman"/>
          <w:b/>
          <w:lang w:eastAsia="es-MX"/>
        </w:rPr>
        <w:t>CAPÍTULO I</w:t>
      </w:r>
    </w:p>
    <w:p w:rsidR="00F13238" w:rsidRPr="00E26EF9" w:rsidRDefault="00F13238" w:rsidP="00E470E3">
      <w:pPr>
        <w:spacing w:after="0"/>
        <w:jc w:val="center"/>
        <w:rPr>
          <w:rFonts w:ascii="Gothic720 BT" w:eastAsia="Times New Roman" w:hAnsi="Gothic720 BT" w:cs="Times New Roman"/>
          <w:b/>
          <w:lang w:eastAsia="es-MX"/>
        </w:rPr>
      </w:pPr>
      <w:r w:rsidRPr="00E26EF9">
        <w:rPr>
          <w:rFonts w:ascii="Gothic720 BT" w:eastAsia="Times New Roman" w:hAnsi="Gothic720 BT" w:cs="Times New Roman"/>
          <w:b/>
          <w:lang w:eastAsia="es-MX"/>
        </w:rPr>
        <w:t>DISPOSICIONES GENERALES</w:t>
      </w:r>
    </w:p>
    <w:p w:rsidR="00353860" w:rsidRPr="00E26EF9" w:rsidRDefault="00353860" w:rsidP="00E470E3">
      <w:pPr>
        <w:spacing w:after="0"/>
        <w:jc w:val="both"/>
        <w:rPr>
          <w:rFonts w:ascii="Gothic720 BT" w:eastAsia="Calibri" w:hAnsi="Gothic720 BT" w:cs="Times New Roman"/>
          <w:sz w:val="18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</w:t>
      </w:r>
      <w:r w:rsidRPr="00E26EF9">
        <w:rPr>
          <w:rFonts w:ascii="Gothic720 BT" w:eastAsia="Calibri" w:hAnsi="Gothic720 BT" w:cs="Times New Roman"/>
        </w:rPr>
        <w:t xml:space="preserve">. Los presentes Lineamientos tienen por objeto establecer las bases para el uso y gestión de las tecnologías de la información y comunicaciones del Instituto Electoral del Estado de Querétaro. 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2.</w:t>
      </w:r>
      <w:r w:rsidRPr="00E26EF9">
        <w:rPr>
          <w:rFonts w:ascii="Gothic720 BT" w:eastAsia="Calibri" w:hAnsi="Gothic720 BT" w:cs="Times New Roman"/>
        </w:rPr>
        <w:t xml:space="preserve"> Estos Lineamientos son de observancia obligatoria para todas las personas que hagan uso de algún bien, servicio o programa asociado a las tecnologías de la información en el Instituto Electoral del Estado de Querétaro, dentro del ámbito de sus respectivas competencias.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1A4771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3</w:t>
      </w:r>
      <w:r w:rsidRPr="00E26EF9">
        <w:rPr>
          <w:rFonts w:ascii="Gothic720 BT" w:eastAsia="Calibri" w:hAnsi="Gothic720 BT" w:cs="Times New Roman"/>
        </w:rPr>
        <w:t xml:space="preserve">. </w:t>
      </w:r>
      <w:r w:rsidR="001A4771" w:rsidRPr="00E26EF9">
        <w:rPr>
          <w:rFonts w:ascii="Gothic720 BT" w:eastAsia="Calibri" w:hAnsi="Gothic720 BT" w:cs="Times New Roman"/>
        </w:rPr>
        <w:t xml:space="preserve">La interpretación de estos Lineamientos se hará conforme a los criterios gramatical, sistemático y funcional. </w:t>
      </w:r>
    </w:p>
    <w:p w:rsidR="003F2AAA" w:rsidRPr="00E26EF9" w:rsidRDefault="003F2AAA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De manera supletoria y en lo conducente se aplicarán los siguientes ordenamientos:</w:t>
      </w:r>
      <w:r w:rsidR="00BC210E" w:rsidRPr="00E26EF9">
        <w:rPr>
          <w:rFonts w:ascii="Gothic720 BT" w:eastAsia="Calibri" w:hAnsi="Gothic720 BT" w:cs="Times New Roman"/>
        </w:rPr>
        <w:t xml:space="preserve"> </w:t>
      </w:r>
      <w:r w:rsidR="00BC210E" w:rsidRPr="00E26EF9">
        <w:rPr>
          <w:rFonts w:ascii="Gothic720 BT" w:eastAsia="Calibri" w:hAnsi="Gothic720 BT" w:cs="Times New Roman"/>
          <w:vertAlign w:val="superscript"/>
        </w:rPr>
        <w:t>(</w:t>
      </w:r>
      <w:r w:rsidR="00BC210E" w:rsidRPr="00E26EF9">
        <w:rPr>
          <w:rFonts w:ascii="Gothic720 BT" w:eastAsia="Calibri" w:hAnsi="Gothic720 BT" w:cs="Times New Roman"/>
          <w:vertAlign w:val="superscript"/>
        </w:rPr>
        <w:t>Párrafo</w:t>
      </w:r>
      <w:r w:rsidR="00BC210E" w:rsidRPr="00E26EF9">
        <w:rPr>
          <w:rFonts w:ascii="Gothic720 BT" w:eastAsia="Calibri" w:hAnsi="Gothic720 BT" w:cs="Times New Roman"/>
          <w:vertAlign w:val="superscript"/>
        </w:rPr>
        <w:t xml:space="preserve"> modificado por Acuerdo IEEQ/CG/A/013/22)</w:t>
      </w:r>
    </w:p>
    <w:p w:rsidR="00562387" w:rsidRPr="00E26EF9" w:rsidRDefault="0056238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I.</w:t>
      </w:r>
      <w:r w:rsidRPr="00E26EF9">
        <w:rPr>
          <w:rFonts w:ascii="Gothic720 BT" w:eastAsia="Calibri" w:hAnsi="Gothic720 BT" w:cs="Times New Roman"/>
        </w:rPr>
        <w:tab/>
        <w:t>Código Penal para el Estado de Querétaro.</w:t>
      </w: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II.</w:t>
      </w:r>
      <w:r w:rsidRPr="00E26EF9">
        <w:rPr>
          <w:rFonts w:ascii="Gothic720 BT" w:eastAsia="Calibri" w:hAnsi="Gothic720 BT" w:cs="Times New Roman"/>
        </w:rPr>
        <w:tab/>
        <w:t>Ley Federal del Derecho de Autor.</w:t>
      </w: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III.</w:t>
      </w:r>
      <w:r w:rsidRPr="00E26EF9">
        <w:rPr>
          <w:rFonts w:ascii="Gothic720 BT" w:eastAsia="Calibri" w:hAnsi="Gothic720 BT" w:cs="Times New Roman"/>
        </w:rPr>
        <w:tab/>
        <w:t xml:space="preserve">Ley Federal de Protección a la Propiedad Industrial. </w:t>
      </w:r>
      <w:r w:rsidR="00777804" w:rsidRPr="00E26EF9">
        <w:rPr>
          <w:rFonts w:ascii="Gothic720 BT" w:eastAsia="Calibri" w:hAnsi="Gothic720 BT" w:cs="Times New Roman"/>
          <w:vertAlign w:val="superscript"/>
        </w:rPr>
        <w:t xml:space="preserve">(Fracción </w:t>
      </w:r>
      <w:r w:rsidR="00777804" w:rsidRPr="00E26EF9">
        <w:rPr>
          <w:rFonts w:ascii="Gothic720 BT" w:eastAsia="Calibri" w:hAnsi="Gothic720 BT" w:cs="Times New Roman"/>
          <w:vertAlign w:val="superscript"/>
        </w:rPr>
        <w:t>modificada</w:t>
      </w:r>
      <w:r w:rsidR="00777804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1304A3" w:rsidRPr="00E26EF9">
        <w:rPr>
          <w:rFonts w:ascii="Gothic720 BT" w:eastAsia="Calibri" w:hAnsi="Gothic720 BT" w:cs="Times New Roman"/>
          <w:vertAlign w:val="superscript"/>
        </w:rPr>
        <w:t>.</w:t>
      </w: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562387" w:rsidRPr="00E26EF9" w:rsidRDefault="00562387" w:rsidP="007E38D5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  <w:vertAlign w:val="superscript"/>
        </w:rPr>
      </w:pPr>
      <w:r w:rsidRPr="00E26EF9">
        <w:rPr>
          <w:rFonts w:ascii="Gothic720 BT" w:eastAsia="Calibri" w:hAnsi="Gothic720 BT" w:cs="Times New Roman"/>
        </w:rPr>
        <w:t>IV.</w:t>
      </w:r>
      <w:r w:rsidRPr="00E26EF9">
        <w:rPr>
          <w:rFonts w:ascii="Gothic720 BT" w:eastAsia="Calibri" w:hAnsi="Gothic720 BT" w:cs="Times New Roman"/>
        </w:rPr>
        <w:tab/>
        <w:t>Ley General de Protección de Datos Personales en Posesión de Sujetos Obligados.</w:t>
      </w:r>
      <w:r w:rsidR="007E38D5" w:rsidRPr="00E26EF9">
        <w:rPr>
          <w:rFonts w:ascii="Gothic720 BT" w:eastAsia="Calibri" w:hAnsi="Gothic720 BT" w:cs="Times New Roman"/>
        </w:rPr>
        <w:t xml:space="preserve"> </w:t>
      </w:r>
      <w:r w:rsidR="007E38D5" w:rsidRPr="00E26EF9">
        <w:rPr>
          <w:rFonts w:ascii="Gothic720 BT" w:eastAsia="Calibri" w:hAnsi="Gothic720 BT" w:cs="Times New Roman"/>
          <w:vertAlign w:val="superscript"/>
        </w:rPr>
        <w:t>(</w:t>
      </w:r>
      <w:r w:rsidR="007E38D5" w:rsidRPr="00E26EF9">
        <w:rPr>
          <w:rFonts w:ascii="Gothic720 BT" w:eastAsia="Calibri" w:hAnsi="Gothic720 BT" w:cs="Times New Roman"/>
          <w:vertAlign w:val="superscript"/>
        </w:rPr>
        <w:t xml:space="preserve">Fracción </w:t>
      </w:r>
      <w:r w:rsidR="007E38D5" w:rsidRPr="00E26EF9">
        <w:rPr>
          <w:rFonts w:ascii="Gothic720 BT" w:eastAsia="Calibri" w:hAnsi="Gothic720 BT" w:cs="Times New Roman"/>
          <w:vertAlign w:val="superscript"/>
        </w:rPr>
        <w:t>adicionad</w:t>
      </w:r>
      <w:r w:rsidR="007E38D5" w:rsidRPr="00E26EF9">
        <w:rPr>
          <w:rFonts w:ascii="Gothic720 BT" w:eastAsia="Calibri" w:hAnsi="Gothic720 BT" w:cs="Times New Roman"/>
          <w:vertAlign w:val="superscript"/>
        </w:rPr>
        <w:t>a</w:t>
      </w:r>
      <w:r w:rsidR="007E38D5" w:rsidRPr="00E26EF9">
        <w:rPr>
          <w:rFonts w:ascii="Gothic720 BT" w:eastAsia="Calibri" w:hAnsi="Gothic720 BT" w:cs="Times New Roman"/>
          <w:vertAlign w:val="superscript"/>
        </w:rPr>
        <w:t xml:space="preserve"> por Acuerdo IEEQ/CG/A/</w:t>
      </w:r>
      <w:r w:rsidR="007E38D5" w:rsidRPr="00E26EF9">
        <w:rPr>
          <w:rFonts w:ascii="Gothic720 BT" w:eastAsia="Calibri" w:hAnsi="Gothic720 BT" w:cs="Times New Roman"/>
          <w:vertAlign w:val="superscript"/>
        </w:rPr>
        <w:t>013</w:t>
      </w:r>
      <w:r w:rsidR="007E38D5" w:rsidRPr="00E26EF9">
        <w:rPr>
          <w:rFonts w:ascii="Gothic720 BT" w:eastAsia="Calibri" w:hAnsi="Gothic720 BT" w:cs="Times New Roman"/>
          <w:vertAlign w:val="superscript"/>
        </w:rPr>
        <w:t>/22)</w:t>
      </w:r>
      <w:r w:rsidR="001304A3" w:rsidRPr="00E26EF9">
        <w:rPr>
          <w:rFonts w:ascii="Gothic720 BT" w:eastAsia="Calibri" w:hAnsi="Gothic720 BT" w:cs="Times New Roman"/>
          <w:vertAlign w:val="superscript"/>
        </w:rPr>
        <w:t>.</w:t>
      </w:r>
    </w:p>
    <w:p w:rsidR="00562387" w:rsidRPr="00E26EF9" w:rsidRDefault="0056238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562387" w:rsidRPr="00E26EF9" w:rsidRDefault="00562387" w:rsidP="007E38D5">
      <w:pPr>
        <w:pStyle w:val="Textoindependiente"/>
      </w:pPr>
      <w:r w:rsidRPr="00E26EF9">
        <w:t>V.</w:t>
      </w:r>
      <w:r w:rsidRPr="00E26EF9">
        <w:tab/>
        <w:t>Ley de Protección de Datos Personales en Posesión de Sujetos Obligados del Estado de Querétaro.</w:t>
      </w:r>
      <w:r w:rsidR="007E38D5" w:rsidRPr="00E26EF9">
        <w:t xml:space="preserve"> </w:t>
      </w:r>
      <w:r w:rsidR="007E38D5" w:rsidRPr="00E26EF9">
        <w:rPr>
          <w:vertAlign w:val="superscript"/>
        </w:rPr>
        <w:t>(Fracción adicionada por Acuerdo IEEQ/CG/A/013/22)</w:t>
      </w:r>
      <w:r w:rsidR="00A63347" w:rsidRPr="00E26EF9">
        <w:rPr>
          <w:vertAlign w:val="superscript"/>
        </w:rPr>
        <w:t>.</w:t>
      </w:r>
    </w:p>
    <w:p w:rsidR="00562387" w:rsidRPr="00E26EF9" w:rsidRDefault="0056238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303AA9" w:rsidRPr="00E26EF9" w:rsidRDefault="00562387" w:rsidP="001511BD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  <w:vertAlign w:val="superscript"/>
        </w:rPr>
      </w:pPr>
      <w:r w:rsidRPr="00E26EF9">
        <w:rPr>
          <w:rFonts w:ascii="Gothic720 BT" w:eastAsia="Calibri" w:hAnsi="Gothic720 BT" w:cs="Times New Roman"/>
        </w:rPr>
        <w:t>VI.</w:t>
      </w:r>
      <w:r w:rsidRPr="00E26EF9">
        <w:rPr>
          <w:rFonts w:ascii="Gothic720 BT" w:eastAsia="Calibri" w:hAnsi="Gothic720 BT" w:cs="Times New Roman"/>
        </w:rPr>
        <w:tab/>
        <w:t>Reglamento Interior del Instituto Electoral del Estado de Querétaro.</w:t>
      </w:r>
      <w:r w:rsidR="001511BD" w:rsidRPr="00E26EF9">
        <w:rPr>
          <w:rFonts w:ascii="Gothic720 BT" w:eastAsia="Calibri" w:hAnsi="Gothic720 BT" w:cs="Times New Roman"/>
          <w:vertAlign w:val="superscript"/>
        </w:rPr>
        <w:t xml:space="preserve"> </w:t>
      </w:r>
    </w:p>
    <w:p w:rsidR="00562387" w:rsidRPr="00E26EF9" w:rsidRDefault="001511BD" w:rsidP="001511BD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vertAlign w:val="superscript"/>
        </w:rPr>
        <w:t>(Artículo modificado por</w:t>
      </w:r>
      <w:r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Pr="00E26EF9">
        <w:rPr>
          <w:rFonts w:ascii="Gothic720 BT" w:eastAsia="Calibri" w:hAnsi="Gothic720 BT" w:cs="Times New Roman"/>
          <w:vertAlign w:val="superscript"/>
        </w:rPr>
        <w:t>Acuerdo IEEQ/CG/A/01</w:t>
      </w:r>
      <w:r w:rsidRPr="00E26EF9">
        <w:rPr>
          <w:rFonts w:ascii="Gothic720 BT" w:eastAsia="Calibri" w:hAnsi="Gothic720 BT" w:cs="Times New Roman"/>
          <w:vertAlign w:val="superscript"/>
        </w:rPr>
        <w:t>3</w:t>
      </w:r>
      <w:r w:rsidRPr="00E26EF9">
        <w:rPr>
          <w:rFonts w:ascii="Gothic720 BT" w:eastAsia="Calibri" w:hAnsi="Gothic720 BT" w:cs="Times New Roman"/>
          <w:vertAlign w:val="superscript"/>
        </w:rPr>
        <w:t>/22)</w:t>
      </w:r>
      <w:r w:rsidR="00A63347" w:rsidRPr="00E26EF9">
        <w:rPr>
          <w:rFonts w:ascii="Gothic720 BT" w:eastAsia="Calibri" w:hAnsi="Gothic720 BT" w:cs="Times New Roman"/>
          <w:vertAlign w:val="superscript"/>
        </w:rPr>
        <w:t>.</w:t>
      </w:r>
    </w:p>
    <w:p w:rsidR="00562387" w:rsidRPr="00E26EF9" w:rsidRDefault="00562387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4.</w:t>
      </w:r>
      <w:r w:rsidRPr="00E26EF9">
        <w:rPr>
          <w:rFonts w:ascii="Gothic720 BT" w:eastAsia="Calibri" w:hAnsi="Gothic720 BT" w:cs="Times New Roman"/>
        </w:rPr>
        <w:t xml:space="preserve"> Para efectos de los presentes Lineamientos, se entenderá:</w:t>
      </w:r>
    </w:p>
    <w:p w:rsidR="00FD45FB" w:rsidRPr="00E26EF9" w:rsidRDefault="00FD45FB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widowControl w:val="0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En cuanto a las autoridades:</w:t>
      </w:r>
    </w:p>
    <w:p w:rsidR="00FD45FB" w:rsidRPr="00E26EF9" w:rsidRDefault="00FD45F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 xml:space="preserve">a) </w:t>
      </w:r>
      <w:r w:rsidRPr="00E26EF9">
        <w:rPr>
          <w:rFonts w:ascii="Gothic720 BT" w:eastAsia="Calibri" w:hAnsi="Gothic720 BT" w:cs="Times New Roman"/>
          <w:b/>
        </w:rPr>
        <w:t>Coordinación</w:t>
      </w:r>
      <w:r w:rsidRPr="00E26EF9">
        <w:rPr>
          <w:rFonts w:ascii="Gothic720 BT" w:eastAsia="Calibri" w:hAnsi="Gothic720 BT" w:cs="Times New Roman"/>
        </w:rPr>
        <w:t>: Coordinación de Tecnologías de la Información e Innovación del Instituto.</w:t>
      </w:r>
      <w:r w:rsidR="006B6698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6B6698" w:rsidRPr="00E26EF9">
        <w:rPr>
          <w:rFonts w:ascii="Gothic720 BT" w:eastAsia="Calibri" w:hAnsi="Gothic720 BT" w:cs="Times New Roman"/>
          <w:vertAlign w:val="superscript"/>
        </w:rPr>
        <w:t>(</w:t>
      </w:r>
      <w:r w:rsidR="006B6698" w:rsidRPr="00E26EF9">
        <w:rPr>
          <w:rFonts w:ascii="Gothic720 BT" w:eastAsia="Calibri" w:hAnsi="Gothic720 BT" w:cs="Times New Roman"/>
          <w:vertAlign w:val="superscript"/>
        </w:rPr>
        <w:t>Inciso</w:t>
      </w:r>
      <w:r w:rsidR="006B6698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6B6698" w:rsidRPr="00E26EF9">
        <w:rPr>
          <w:rFonts w:ascii="Gothic720 BT" w:eastAsia="Calibri" w:hAnsi="Gothic720 BT" w:cs="Times New Roman"/>
          <w:vertAlign w:val="superscript"/>
        </w:rPr>
        <w:t>modificado</w:t>
      </w:r>
      <w:r w:rsidR="006B6698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1304A3" w:rsidRPr="00E26EF9">
        <w:rPr>
          <w:rFonts w:ascii="Gothic720 BT" w:eastAsia="Calibri" w:hAnsi="Gothic720 BT" w:cs="Times New Roman"/>
          <w:vertAlign w:val="superscript"/>
        </w:rPr>
        <w:t>.</w:t>
      </w: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lastRenderedPageBreak/>
        <w:t xml:space="preserve">b) </w:t>
      </w:r>
      <w:r w:rsidRPr="00E26EF9">
        <w:rPr>
          <w:rFonts w:ascii="Gothic720 BT" w:eastAsia="Calibri" w:hAnsi="Gothic720 BT" w:cs="Times New Roman"/>
          <w:b/>
        </w:rPr>
        <w:t>Instituto</w:t>
      </w:r>
      <w:r w:rsidRPr="00E26EF9">
        <w:rPr>
          <w:rFonts w:ascii="Gothic720 BT" w:eastAsia="Calibri" w:hAnsi="Gothic720 BT" w:cs="Times New Roman"/>
        </w:rPr>
        <w:t>: Instituto Electoral del Estado de Querétaro.</w:t>
      </w: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 xml:space="preserve">c) </w:t>
      </w:r>
      <w:r w:rsidRPr="00E26EF9">
        <w:rPr>
          <w:rFonts w:ascii="Gothic720 BT" w:eastAsia="Calibri" w:hAnsi="Gothic720 BT" w:cs="Times New Roman"/>
          <w:b/>
        </w:rPr>
        <w:t>Secretaría Ejecutiva</w:t>
      </w:r>
      <w:r w:rsidRPr="00E26EF9">
        <w:rPr>
          <w:rFonts w:ascii="Gothic720 BT" w:eastAsia="Calibri" w:hAnsi="Gothic720 BT" w:cs="Times New Roman"/>
        </w:rPr>
        <w:t>: Secretaría Ejecutiva del Instituto.</w:t>
      </w: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widowControl w:val="0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En cuanto a los ordenamientos jurídicos:</w:t>
      </w:r>
    </w:p>
    <w:p w:rsidR="0019171B" w:rsidRPr="00E26EF9" w:rsidRDefault="0019171B" w:rsidP="00E470E3">
      <w:pPr>
        <w:widowControl w:val="0"/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widowControl w:val="0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Lineamientos:</w:t>
      </w:r>
      <w:r w:rsidRPr="00E26EF9">
        <w:rPr>
          <w:rFonts w:ascii="Gothic720 BT" w:eastAsia="Calibri" w:hAnsi="Gothic720 BT" w:cs="Times New Roman"/>
        </w:rPr>
        <w:t xml:space="preserve"> Lineamientos para la utilización de las tecnologías de la información y comunicaciones del Instituto.</w:t>
      </w:r>
    </w:p>
    <w:p w:rsidR="0019171B" w:rsidRPr="00E26EF9" w:rsidRDefault="0019171B" w:rsidP="00E470E3">
      <w:pPr>
        <w:widowControl w:val="0"/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widowControl w:val="0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En cuanto a los conceptos:</w:t>
      </w:r>
    </w:p>
    <w:p w:rsidR="0019171B" w:rsidRPr="00E26EF9" w:rsidRDefault="0019171B" w:rsidP="00E470E3">
      <w:pPr>
        <w:widowControl w:val="0"/>
        <w:tabs>
          <w:tab w:val="left" w:pos="426"/>
          <w:tab w:val="left" w:pos="851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pStyle w:val="Prrafodelista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Bienes</w:t>
      </w:r>
      <w:r w:rsidRPr="00E26EF9">
        <w:rPr>
          <w:rFonts w:ascii="Gothic720 BT" w:eastAsia="Calibri" w:hAnsi="Gothic720 BT" w:cs="Times New Roman"/>
        </w:rPr>
        <w:t>: Dispositivos electrónicos provistos por el Instituto y asociados a las TIC.</w:t>
      </w:r>
    </w:p>
    <w:p w:rsidR="00DE2AE3" w:rsidRPr="00E26EF9" w:rsidRDefault="00DE2AE3" w:rsidP="00E470E3">
      <w:pPr>
        <w:pStyle w:val="Prrafodelista"/>
        <w:tabs>
          <w:tab w:val="left" w:pos="426"/>
          <w:tab w:val="left" w:pos="993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pStyle w:val="Prrafodelista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Bit</w:t>
      </w:r>
      <w:r w:rsidRPr="00E26EF9">
        <w:rPr>
          <w:rFonts w:ascii="Gothic720 BT" w:eastAsia="Calibri" w:hAnsi="Gothic720 BT" w:cs="Times New Roman"/>
        </w:rPr>
        <w:t>: Unidad mínima de información.</w:t>
      </w: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pStyle w:val="Prrafodelista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Directorio</w:t>
      </w:r>
      <w:r w:rsidRPr="00E26EF9">
        <w:rPr>
          <w:rFonts w:ascii="Gothic720 BT" w:eastAsia="Calibri" w:hAnsi="Gothic720 BT" w:cs="Times New Roman"/>
        </w:rPr>
        <w:t>: Contenedor virtual de archivos organizado jerárquicamente.</w:t>
      </w:r>
    </w:p>
    <w:p w:rsidR="00DE2AE3" w:rsidRPr="00E26EF9" w:rsidRDefault="00DE2AE3" w:rsidP="00E470E3">
      <w:pPr>
        <w:pStyle w:val="Prrafodelista"/>
        <w:tabs>
          <w:tab w:val="left" w:pos="426"/>
          <w:tab w:val="left" w:pos="993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pStyle w:val="Sangra3detindependiente"/>
        <w:numPr>
          <w:ilvl w:val="0"/>
          <w:numId w:val="11"/>
        </w:numPr>
        <w:tabs>
          <w:tab w:val="left" w:pos="426"/>
        </w:tabs>
        <w:ind w:left="0" w:firstLine="0"/>
      </w:pPr>
      <w:r w:rsidRPr="00E26EF9">
        <w:rPr>
          <w:b/>
        </w:rPr>
        <w:t>Funcionariado</w:t>
      </w:r>
      <w:r w:rsidRPr="00E26EF9">
        <w:t xml:space="preserve">: Personas que prestan su servicio en el Instituto y que hacen uso de las TIC. </w:t>
      </w: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e)</w:t>
      </w:r>
      <w:r w:rsidRPr="00E26EF9">
        <w:rPr>
          <w:rFonts w:ascii="Gothic720 BT" w:eastAsia="Calibri" w:hAnsi="Gothic720 BT" w:cs="Times New Roman"/>
        </w:rPr>
        <w:tab/>
      </w:r>
      <w:r w:rsidRPr="00E26EF9">
        <w:rPr>
          <w:rFonts w:ascii="Gothic720 BT" w:eastAsia="Calibri" w:hAnsi="Gothic720 BT" w:cs="Times New Roman"/>
          <w:b/>
        </w:rPr>
        <w:t>Programas</w:t>
      </w:r>
      <w:r w:rsidRPr="00E26EF9">
        <w:rPr>
          <w:rFonts w:ascii="Gothic720 BT" w:eastAsia="Calibri" w:hAnsi="Gothic720 BT" w:cs="Times New Roman"/>
        </w:rPr>
        <w:t>: Sistemas de información provistos por el Instituto.</w:t>
      </w: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f)</w:t>
      </w:r>
      <w:r w:rsidRPr="00E26EF9">
        <w:rPr>
          <w:rFonts w:ascii="Gothic720 BT" w:eastAsia="Calibri" w:hAnsi="Gothic720 BT" w:cs="Times New Roman"/>
        </w:rPr>
        <w:tab/>
      </w:r>
      <w:r w:rsidRPr="00E26EF9">
        <w:rPr>
          <w:rFonts w:ascii="Gothic720 BT" w:eastAsia="Calibri" w:hAnsi="Gothic720 BT" w:cs="Times New Roman"/>
          <w:b/>
        </w:rPr>
        <w:t>Red</w:t>
      </w:r>
      <w:r w:rsidRPr="00E26EF9">
        <w:rPr>
          <w:rFonts w:ascii="Gothic720 BT" w:eastAsia="Calibri" w:hAnsi="Gothic720 BT" w:cs="Times New Roman"/>
        </w:rPr>
        <w:t>: Red de voz y datos del Instituto.</w:t>
      </w: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g)</w:t>
      </w:r>
      <w:r w:rsidRPr="00E26EF9">
        <w:rPr>
          <w:rFonts w:ascii="Gothic720 BT" w:eastAsia="Calibri" w:hAnsi="Gothic720 BT" w:cs="Times New Roman"/>
        </w:rPr>
        <w:tab/>
      </w:r>
      <w:r w:rsidRPr="00E26EF9">
        <w:rPr>
          <w:rFonts w:ascii="Gothic720 BT" w:eastAsia="Calibri" w:hAnsi="Gothic720 BT" w:cs="Times New Roman"/>
          <w:b/>
        </w:rPr>
        <w:t>Servicios</w:t>
      </w:r>
      <w:r w:rsidRPr="00E26EF9">
        <w:rPr>
          <w:rFonts w:ascii="Gothic720 BT" w:eastAsia="Calibri" w:hAnsi="Gothic720 BT" w:cs="Times New Roman"/>
        </w:rPr>
        <w:t>: Servicios provistos por el Instituto y asociados a las TIC.</w:t>
      </w:r>
    </w:p>
    <w:p w:rsidR="00DE2AE3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</w:p>
    <w:p w:rsidR="00303AA9" w:rsidRPr="00E26EF9" w:rsidRDefault="00DE2AE3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h)</w:t>
      </w:r>
      <w:r w:rsidRPr="00E26EF9">
        <w:rPr>
          <w:rFonts w:ascii="Gothic720 BT" w:eastAsia="Calibri" w:hAnsi="Gothic720 BT" w:cs="Times New Roman"/>
        </w:rPr>
        <w:tab/>
      </w:r>
      <w:r w:rsidRPr="00E26EF9">
        <w:rPr>
          <w:rFonts w:ascii="Gothic720 BT" w:eastAsia="Calibri" w:hAnsi="Gothic720 BT" w:cs="Times New Roman"/>
          <w:b/>
        </w:rPr>
        <w:t>TIC</w:t>
      </w:r>
      <w:r w:rsidRPr="00E26EF9">
        <w:rPr>
          <w:rFonts w:ascii="Gothic720 BT" w:eastAsia="Calibri" w:hAnsi="Gothic720 BT" w:cs="Times New Roman"/>
        </w:rPr>
        <w:t>: Tecnologías de la Información y Comunicaciones propiedad del Instituto.</w:t>
      </w:r>
      <w:r w:rsidR="006B6698" w:rsidRPr="00E26EF9">
        <w:rPr>
          <w:rFonts w:ascii="Gothic720 BT" w:eastAsia="Calibri" w:hAnsi="Gothic720 BT" w:cs="Times New Roman"/>
        </w:rPr>
        <w:t xml:space="preserve"> </w:t>
      </w:r>
    </w:p>
    <w:p w:rsidR="00DE2AE3" w:rsidRPr="00E26EF9" w:rsidRDefault="006B6698" w:rsidP="00E470E3">
      <w:pPr>
        <w:tabs>
          <w:tab w:val="left" w:pos="426"/>
          <w:tab w:val="left" w:pos="993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vertAlign w:val="superscript"/>
        </w:rPr>
        <w:t>(</w:t>
      </w:r>
      <w:r w:rsidR="00303AA9" w:rsidRPr="00E26EF9">
        <w:rPr>
          <w:rFonts w:ascii="Gothic720 BT" w:eastAsia="Calibri" w:hAnsi="Gothic720 BT" w:cs="Times New Roman"/>
          <w:vertAlign w:val="superscript"/>
        </w:rPr>
        <w:t xml:space="preserve">Artículo </w:t>
      </w:r>
      <w:r w:rsidRPr="00E26EF9">
        <w:rPr>
          <w:rFonts w:ascii="Gothic720 BT" w:eastAsia="Calibri" w:hAnsi="Gothic720 BT" w:cs="Times New Roman"/>
          <w:vertAlign w:val="superscript"/>
        </w:rPr>
        <w:t>modificado</w:t>
      </w:r>
      <w:r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1304A3" w:rsidRPr="00E26EF9">
        <w:rPr>
          <w:rFonts w:ascii="Gothic720 BT" w:eastAsia="Calibri" w:hAnsi="Gothic720 BT" w:cs="Times New Roman"/>
          <w:vertAlign w:val="superscript"/>
        </w:rPr>
        <w:t>.</w:t>
      </w:r>
    </w:p>
    <w:p w:rsidR="00DE2AE3" w:rsidRPr="00E26EF9" w:rsidRDefault="00DE2AE3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CAPÍTULO II</w:t>
      </w: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BIENES, SERVICIOS Y PROGRAMAS</w:t>
      </w: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5.</w:t>
      </w:r>
      <w:r w:rsidRPr="00E26EF9">
        <w:rPr>
          <w:rFonts w:ascii="Gothic720 BT" w:eastAsia="Calibri" w:hAnsi="Gothic720 BT" w:cs="Times New Roman"/>
        </w:rPr>
        <w:t xml:space="preserve"> Todos los bienes, servicios y programas que se pongan a disposición del funcionariado, están destinados en forma exclusiva al cumplimiento de los fines y tareas del Instituto, por lo que deberá hacerse un uso adecuado y responsable de los mismos.</w:t>
      </w:r>
    </w:p>
    <w:p w:rsidR="00F307B7" w:rsidRPr="00E26EF9" w:rsidRDefault="00F307B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6.</w:t>
      </w:r>
      <w:r w:rsidRPr="00E26EF9">
        <w:rPr>
          <w:rFonts w:ascii="Gothic720 BT" w:eastAsia="Calibri" w:hAnsi="Gothic720 BT" w:cs="Times New Roman"/>
        </w:rPr>
        <w:t xml:space="preserve"> Cuando el funcionariado requiera la instalación de cualquier bien, servicio o programa; deberá solicitarlo por escrito a la Coordinación con la debida anticipación, a fin de que ésta prevea lo necesario, determine su viabilidad y estime el tiempo pertinente para su ejecución.</w:t>
      </w:r>
    </w:p>
    <w:p w:rsidR="00F307B7" w:rsidRPr="00E26EF9" w:rsidRDefault="00F307B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307B7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7</w:t>
      </w:r>
      <w:r w:rsidRPr="00E26EF9">
        <w:rPr>
          <w:rFonts w:ascii="Gothic720 BT" w:eastAsia="Calibri" w:hAnsi="Gothic720 BT" w:cs="Times New Roman"/>
        </w:rPr>
        <w:t xml:space="preserve">. </w:t>
      </w:r>
      <w:r w:rsidR="00F307B7" w:rsidRPr="00E26EF9">
        <w:rPr>
          <w:rFonts w:ascii="Gothic720 BT" w:eastAsia="Calibri" w:hAnsi="Gothic720 BT" w:cs="Times New Roman"/>
        </w:rPr>
        <w:t xml:space="preserve">La Coordinación tendrá bajo su resguardo un inventario de bienes, mismos que podrán ser destinados al funcionariado para el desarrollo de sus actividades, en cuyo </w:t>
      </w:r>
      <w:r w:rsidR="00F307B7" w:rsidRPr="00E26EF9">
        <w:rPr>
          <w:rFonts w:ascii="Gothic720 BT" w:eastAsia="Calibri" w:hAnsi="Gothic720 BT" w:cs="Times New Roman"/>
        </w:rPr>
        <w:lastRenderedPageBreak/>
        <w:t>caso se deberá solicitar por escrito a la Coordinación, para que ésta prevea lo necesario y verifique su disponibilidad.</w:t>
      </w:r>
      <w:r w:rsidR="00BC210E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BC210E" w:rsidRPr="00E26EF9">
        <w:rPr>
          <w:rFonts w:ascii="Gothic720 BT" w:eastAsia="Calibri" w:hAnsi="Gothic720 BT" w:cs="Times New Roman"/>
          <w:vertAlign w:val="superscript"/>
        </w:rPr>
        <w:t>(</w:t>
      </w:r>
      <w:r w:rsidR="00BC210E" w:rsidRPr="00E26EF9">
        <w:rPr>
          <w:rFonts w:ascii="Gothic720 BT" w:hAnsi="Gothic720 BT"/>
          <w:vertAlign w:val="superscript"/>
        </w:rPr>
        <w:t>Párrafo</w:t>
      </w:r>
      <w:r w:rsidR="00BC210E" w:rsidRPr="00E26EF9">
        <w:rPr>
          <w:rFonts w:ascii="Gothic720 BT" w:eastAsia="Calibri" w:hAnsi="Gothic720 BT" w:cs="Times New Roman"/>
          <w:vertAlign w:val="superscript"/>
        </w:rPr>
        <w:t xml:space="preserve"> modificado por Acuerdo IEEQ/CG/A/013/22)</w:t>
      </w:r>
      <w:r w:rsidR="00BC210E" w:rsidRPr="00E26EF9">
        <w:rPr>
          <w:rFonts w:ascii="Gothic720 BT" w:eastAsia="Calibri" w:hAnsi="Gothic720 BT" w:cs="Times New Roman"/>
          <w:vertAlign w:val="superscript"/>
        </w:rPr>
        <w:t>.</w:t>
      </w:r>
    </w:p>
    <w:p w:rsidR="00F307B7" w:rsidRPr="00E26EF9" w:rsidRDefault="00F307B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3C4948" w:rsidRPr="00E26EF9" w:rsidRDefault="00F307B7" w:rsidP="003C4948">
      <w:pPr>
        <w:pStyle w:val="Textoindependiente"/>
      </w:pPr>
      <w:r w:rsidRPr="00E26EF9">
        <w:t>Cuando la solicitud sea procedente, se firmará el resguardo respectivo ante la Coordinación, en el que se especifique lo siguiente:</w:t>
      </w:r>
      <w:r w:rsidR="003C4948" w:rsidRPr="00E26EF9">
        <w:rPr>
          <w:vertAlign w:val="superscript"/>
        </w:rPr>
        <w:t xml:space="preserve"> </w:t>
      </w:r>
      <w:r w:rsidR="003C4948" w:rsidRPr="00E26EF9">
        <w:rPr>
          <w:vertAlign w:val="superscript"/>
        </w:rPr>
        <w:t>(</w:t>
      </w:r>
      <w:r w:rsidR="003C4948" w:rsidRPr="00E26EF9">
        <w:rPr>
          <w:vertAlign w:val="superscript"/>
        </w:rPr>
        <w:t>Párrafo</w:t>
      </w:r>
      <w:r w:rsidR="003C4948" w:rsidRPr="00E26EF9">
        <w:rPr>
          <w:vertAlign w:val="superscript"/>
        </w:rPr>
        <w:t xml:space="preserve"> modificado por Acuerdo IEEQ/CG/A/013/22)</w:t>
      </w:r>
      <w:r w:rsidR="00BC210E" w:rsidRPr="00E26EF9">
        <w:rPr>
          <w:vertAlign w:val="superscript"/>
        </w:rPr>
        <w:t>.</w:t>
      </w:r>
    </w:p>
    <w:p w:rsidR="00F307B7" w:rsidRPr="00E26EF9" w:rsidRDefault="00F307B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307B7" w:rsidRPr="00E26EF9" w:rsidRDefault="00F307B7" w:rsidP="00E470E3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Nombre del funcionariado que recibe los bienes.</w:t>
      </w:r>
      <w:r w:rsidR="001304A3" w:rsidRPr="00E26EF9">
        <w:rPr>
          <w:rFonts w:ascii="Gothic720 BT" w:eastAsia="Calibri" w:hAnsi="Gothic720 BT" w:cs="Times New Roman"/>
        </w:rPr>
        <w:t xml:space="preserve"> 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(Fracción </w:t>
      </w:r>
      <w:r w:rsidR="001304A3" w:rsidRPr="00E26EF9">
        <w:rPr>
          <w:rFonts w:ascii="Gothic720 BT" w:eastAsia="Calibri" w:hAnsi="Gothic720 BT" w:cs="Times New Roman"/>
          <w:vertAlign w:val="superscript"/>
        </w:rPr>
        <w:t>adicionada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1304A3" w:rsidRPr="00E26EF9">
        <w:rPr>
          <w:rFonts w:ascii="Gothic720 BT" w:eastAsia="Calibri" w:hAnsi="Gothic720 BT" w:cs="Times New Roman"/>
          <w:vertAlign w:val="superscript"/>
        </w:rPr>
        <w:t>.</w:t>
      </w: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II.</w:t>
      </w:r>
      <w:r w:rsidRPr="00E26EF9">
        <w:rPr>
          <w:rFonts w:ascii="Gothic720 BT" w:eastAsia="Calibri" w:hAnsi="Gothic720 BT" w:cs="Times New Roman"/>
        </w:rPr>
        <w:tab/>
        <w:t>Descripción de los bienes y su estado de funcionalidad.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1304A3" w:rsidRPr="00E26EF9">
        <w:rPr>
          <w:rFonts w:ascii="Gothic720 BT" w:eastAsia="Calibri" w:hAnsi="Gothic720 BT" w:cs="Times New Roman"/>
          <w:vertAlign w:val="superscript"/>
        </w:rPr>
        <w:t>(Fracción adicionada por Acuerdo IEEQ/CG/A/013/22).</w:t>
      </w: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III.</w:t>
      </w:r>
      <w:r w:rsidRPr="00E26EF9">
        <w:rPr>
          <w:rFonts w:ascii="Gothic720 BT" w:eastAsia="Calibri" w:hAnsi="Gothic720 BT" w:cs="Times New Roman"/>
        </w:rPr>
        <w:tab/>
        <w:t>Periodo de tiempo o actividad para la que serán utilizados los bienes.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1304A3" w:rsidRPr="00E26EF9">
        <w:rPr>
          <w:rFonts w:ascii="Gothic720 BT" w:eastAsia="Calibri" w:hAnsi="Gothic720 BT" w:cs="Times New Roman"/>
          <w:vertAlign w:val="superscript"/>
        </w:rPr>
        <w:t>(Fracción adicionada por Acuerdo IEEQ/CG/A/013/22).</w:t>
      </w: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307B7" w:rsidRPr="00E26EF9" w:rsidRDefault="00F307B7" w:rsidP="0040044D">
      <w:pPr>
        <w:pStyle w:val="Textoindependiente"/>
      </w:pPr>
      <w:r w:rsidRPr="00E26EF9">
        <w:t>IV.</w:t>
      </w:r>
      <w:r w:rsidRPr="00E26EF9">
        <w:tab/>
        <w:t>Firma o huella digital de recepción del funcionariado.</w:t>
      </w:r>
      <w:r w:rsidR="0040044D" w:rsidRPr="00E26EF9">
        <w:t xml:space="preserve"> </w:t>
      </w:r>
      <w:r w:rsidR="001304A3" w:rsidRPr="00E26EF9">
        <w:rPr>
          <w:vertAlign w:val="superscript"/>
        </w:rPr>
        <w:t>(Fracción adicionada por Acuerdo IEEQ/CG/A/013/22).</w:t>
      </w:r>
    </w:p>
    <w:p w:rsidR="00F307B7" w:rsidRPr="00E26EF9" w:rsidRDefault="00F307B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8.</w:t>
      </w:r>
      <w:r w:rsidRPr="00E26EF9">
        <w:rPr>
          <w:rFonts w:ascii="Gothic720 BT" w:eastAsia="Calibri" w:hAnsi="Gothic720 BT" w:cs="Times New Roman"/>
        </w:rPr>
        <w:t xml:space="preserve"> Cuando el funcionariado requiera el uso de bienes o servicios para personas ajenas al Instituto, se hará una solicitud por escrito a la Coordinación indicando al menos lo siguiente:</w:t>
      </w:r>
    </w:p>
    <w:p w:rsidR="00F307B7" w:rsidRPr="00E26EF9" w:rsidRDefault="00F307B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A87A17" w:rsidRPr="00E26EF9" w:rsidRDefault="00A87A17" w:rsidP="00E470E3">
      <w:pPr>
        <w:pStyle w:val="Prrafodelista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Nombre de la persona que hará uso de los bienes o servicios.</w:t>
      </w:r>
      <w:r w:rsidR="001304A3" w:rsidRPr="00E26EF9">
        <w:rPr>
          <w:rFonts w:ascii="Gothic720 BT" w:eastAsia="Calibri" w:hAnsi="Gothic720 BT" w:cs="Times New Roman"/>
        </w:rPr>
        <w:t xml:space="preserve"> </w:t>
      </w:r>
      <w:r w:rsidR="001304A3" w:rsidRPr="00E26EF9">
        <w:rPr>
          <w:rFonts w:ascii="Gothic720 BT" w:eastAsia="Calibri" w:hAnsi="Gothic720 BT" w:cs="Times New Roman"/>
          <w:vertAlign w:val="superscript"/>
        </w:rPr>
        <w:t>(Fracción adicionada por Acuerdo IEEQ/CG/A/013/22).</w:t>
      </w:r>
    </w:p>
    <w:p w:rsidR="00A87A17" w:rsidRPr="00E26EF9" w:rsidRDefault="00A87A1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A87A17" w:rsidRPr="00E26EF9" w:rsidRDefault="00A87A17" w:rsidP="00E470E3">
      <w:pPr>
        <w:pStyle w:val="Prrafodelista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Tipo de bienes o servicios requeridos.</w:t>
      </w:r>
      <w:r w:rsidR="007E28D2" w:rsidRPr="00E26EF9">
        <w:rPr>
          <w:rFonts w:ascii="Gothic720 BT" w:eastAsia="Calibri" w:hAnsi="Gothic720 BT" w:cs="Times New Roman"/>
        </w:rPr>
        <w:t xml:space="preserve"> </w:t>
      </w:r>
      <w:r w:rsidR="007E28D2" w:rsidRPr="00E26EF9">
        <w:rPr>
          <w:rFonts w:ascii="Gothic720 BT" w:eastAsia="Calibri" w:hAnsi="Gothic720 BT" w:cs="Times New Roman"/>
          <w:vertAlign w:val="superscript"/>
        </w:rPr>
        <w:t xml:space="preserve">(Fracción </w:t>
      </w:r>
      <w:r w:rsidR="007E28D2" w:rsidRPr="00E26EF9">
        <w:rPr>
          <w:rFonts w:ascii="Gothic720 BT" w:eastAsia="Calibri" w:hAnsi="Gothic720 BT" w:cs="Times New Roman"/>
          <w:vertAlign w:val="superscript"/>
        </w:rPr>
        <w:t>modificada</w:t>
      </w:r>
      <w:r w:rsidR="007E28D2"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A87A17" w:rsidRPr="00E26EF9" w:rsidRDefault="00A87A1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A87A17" w:rsidRPr="00E26EF9" w:rsidRDefault="00A87A17" w:rsidP="00E470E3">
      <w:pPr>
        <w:pStyle w:val="Sangra3detindependiente"/>
        <w:numPr>
          <w:ilvl w:val="0"/>
          <w:numId w:val="13"/>
        </w:numPr>
        <w:tabs>
          <w:tab w:val="clear" w:pos="993"/>
          <w:tab w:val="left" w:pos="426"/>
        </w:tabs>
        <w:ind w:left="0" w:firstLine="0"/>
      </w:pPr>
      <w:r w:rsidRPr="00E26EF9">
        <w:t>Periodo de uso.</w:t>
      </w:r>
      <w:r w:rsidR="007E28D2" w:rsidRPr="00E26EF9">
        <w:rPr>
          <w:vertAlign w:val="superscript"/>
        </w:rPr>
        <w:t xml:space="preserve"> </w:t>
      </w:r>
      <w:r w:rsidR="007E28D2" w:rsidRPr="00E26EF9">
        <w:rPr>
          <w:vertAlign w:val="superscript"/>
        </w:rPr>
        <w:t xml:space="preserve">(Fracción </w:t>
      </w:r>
      <w:r w:rsidR="007E28D2" w:rsidRPr="00E26EF9">
        <w:rPr>
          <w:vertAlign w:val="superscript"/>
        </w:rPr>
        <w:t>modificada</w:t>
      </w:r>
      <w:r w:rsidR="007E28D2" w:rsidRPr="00E26EF9">
        <w:rPr>
          <w:vertAlign w:val="superscript"/>
        </w:rPr>
        <w:t xml:space="preserve"> por Acuerdo IEEQ/CG/A/013/22).</w:t>
      </w:r>
    </w:p>
    <w:p w:rsidR="00A87A17" w:rsidRPr="00E26EF9" w:rsidRDefault="00A87A1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A87A17" w:rsidRPr="00E26EF9" w:rsidRDefault="00A87A17" w:rsidP="00E470E3">
      <w:pPr>
        <w:pStyle w:val="Prrafodelista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Justificación.</w:t>
      </w:r>
      <w:r w:rsidR="007E28D2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7E28D2" w:rsidRPr="00E26EF9">
        <w:rPr>
          <w:rFonts w:ascii="Gothic720 BT" w:eastAsia="Calibri" w:hAnsi="Gothic720 BT" w:cs="Times New Roman"/>
          <w:vertAlign w:val="superscript"/>
        </w:rPr>
        <w:t xml:space="preserve">(Fracción </w:t>
      </w:r>
      <w:r w:rsidR="007E28D2" w:rsidRPr="00E26EF9">
        <w:rPr>
          <w:rFonts w:ascii="Gothic720 BT" w:eastAsia="Calibri" w:hAnsi="Gothic720 BT" w:cs="Times New Roman"/>
          <w:vertAlign w:val="superscript"/>
        </w:rPr>
        <w:t>modificada</w:t>
      </w:r>
      <w:r w:rsidR="007E28D2"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A87A17" w:rsidRPr="00E26EF9" w:rsidRDefault="00A87A1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A87A17" w:rsidRPr="00E26EF9" w:rsidRDefault="00A87A17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La solicitud deberá ser autorizada por las personas titulares de la Secretaría Ejecutiva y del área solicitante, respectivamente.</w:t>
      </w:r>
      <w:r w:rsidR="001304A3" w:rsidRPr="00E26EF9">
        <w:rPr>
          <w:rFonts w:ascii="Gothic720 BT" w:eastAsia="Calibri" w:hAnsi="Gothic720 BT" w:cs="Times New Roman"/>
        </w:rPr>
        <w:t xml:space="preserve"> </w:t>
      </w:r>
      <w:r w:rsidR="001304A3" w:rsidRPr="00E26EF9">
        <w:rPr>
          <w:rFonts w:ascii="Gothic720 BT" w:eastAsia="Calibri" w:hAnsi="Gothic720 BT" w:cs="Times New Roman"/>
          <w:vertAlign w:val="superscript"/>
        </w:rPr>
        <w:t>(</w:t>
      </w:r>
      <w:r w:rsidR="001304A3" w:rsidRPr="00E26EF9">
        <w:rPr>
          <w:rFonts w:ascii="Gothic720 BT" w:hAnsi="Gothic720 BT"/>
          <w:vertAlign w:val="superscript"/>
        </w:rPr>
        <w:t>Párrafo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AE3166" w:rsidRPr="00E26EF9">
        <w:rPr>
          <w:rFonts w:ascii="Gothic720 BT" w:eastAsia="Calibri" w:hAnsi="Gothic720 BT" w:cs="Times New Roman"/>
          <w:vertAlign w:val="superscript"/>
        </w:rPr>
        <w:t>adicionado</w:t>
      </w:r>
      <w:r w:rsidR="001304A3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</w:p>
    <w:p w:rsidR="00A87A17" w:rsidRPr="00E26EF9" w:rsidRDefault="00A87A1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08669F" w:rsidRDefault="00A87A17" w:rsidP="00E470E3">
      <w:pPr>
        <w:spacing w:after="0"/>
        <w:jc w:val="both"/>
        <w:rPr>
          <w:rFonts w:ascii="Gothic720 BT" w:eastAsia="Calibri" w:hAnsi="Gothic720 BT" w:cs="Times New Roman"/>
          <w:vertAlign w:val="superscript"/>
        </w:rPr>
      </w:pPr>
      <w:r w:rsidRPr="00E26EF9">
        <w:rPr>
          <w:rFonts w:ascii="Gothic720 BT" w:eastAsia="Calibri" w:hAnsi="Gothic720 BT" w:cs="Times New Roman"/>
        </w:rPr>
        <w:t>En todos los casos, los bienes y servicios podrán ser utilizados dependiendo de la disponibilidad, así como las condiciones presupuestales y técnicas para su funcionamiento.</w:t>
      </w:r>
      <w:r w:rsidR="00AE3166" w:rsidRPr="00E26EF9">
        <w:rPr>
          <w:rFonts w:ascii="Gothic720 BT" w:eastAsia="Calibri" w:hAnsi="Gothic720 BT" w:cs="Times New Roman"/>
          <w:vertAlign w:val="superscript"/>
        </w:rPr>
        <w:t xml:space="preserve"> </w:t>
      </w:r>
    </w:p>
    <w:p w:rsidR="00A87A17" w:rsidRPr="00E26EF9" w:rsidRDefault="00AE3166" w:rsidP="00E470E3">
      <w:pPr>
        <w:spacing w:after="0"/>
        <w:jc w:val="both"/>
        <w:rPr>
          <w:rFonts w:ascii="Gothic720 BT" w:eastAsia="Calibri" w:hAnsi="Gothic720 BT" w:cs="Times New Roman"/>
          <w:vertAlign w:val="superscript"/>
        </w:rPr>
      </w:pPr>
      <w:r w:rsidRPr="00E26EF9">
        <w:rPr>
          <w:rFonts w:ascii="Gothic720 BT" w:eastAsia="Calibri" w:hAnsi="Gothic720 BT" w:cs="Times New Roman"/>
          <w:vertAlign w:val="superscript"/>
        </w:rPr>
        <w:t>(</w:t>
      </w:r>
      <w:r w:rsidR="00D8116C" w:rsidRPr="00E26EF9">
        <w:rPr>
          <w:rFonts w:ascii="Gothic720 BT" w:eastAsia="Calibri" w:hAnsi="Gothic720 BT" w:cs="Times New Roman"/>
          <w:vertAlign w:val="superscript"/>
        </w:rPr>
        <w:t xml:space="preserve">Artículo </w:t>
      </w:r>
      <w:r w:rsidRPr="00E26EF9">
        <w:rPr>
          <w:rFonts w:ascii="Gothic720 BT" w:eastAsia="Calibri" w:hAnsi="Gothic720 BT" w:cs="Times New Roman"/>
          <w:vertAlign w:val="superscript"/>
        </w:rPr>
        <w:t>modificado por Acuerdo IEEQ/CG/A/013/22)</w:t>
      </w:r>
      <w:r w:rsidRPr="00E26EF9">
        <w:rPr>
          <w:rFonts w:ascii="Gothic720 BT" w:eastAsia="Calibri" w:hAnsi="Gothic720 BT" w:cs="Times New Roman"/>
          <w:vertAlign w:val="superscript"/>
        </w:rPr>
        <w:t>.</w:t>
      </w:r>
    </w:p>
    <w:p w:rsidR="00A87A17" w:rsidRPr="00E26EF9" w:rsidRDefault="00A87A17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9.</w:t>
      </w:r>
      <w:r w:rsidRPr="00E26EF9">
        <w:rPr>
          <w:rFonts w:ascii="Gothic720 BT" w:eastAsia="Calibri" w:hAnsi="Gothic720 BT" w:cs="Times New Roman"/>
        </w:rPr>
        <w:t xml:space="preserve"> Todo el funcionariado se abstendrá de:</w:t>
      </w:r>
    </w:p>
    <w:p w:rsidR="00A87A17" w:rsidRPr="00E26EF9" w:rsidRDefault="00A87A17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E470E3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 xml:space="preserve"> </w:t>
      </w:r>
      <w:r w:rsidR="00F13238" w:rsidRPr="00E26EF9">
        <w:rPr>
          <w:rFonts w:ascii="Gothic720 BT" w:eastAsia="Calibri" w:hAnsi="Gothic720 BT" w:cs="Times New Roman"/>
        </w:rPr>
        <w:t>Dañar los bienes;</w:t>
      </w:r>
    </w:p>
    <w:p w:rsidR="00304587" w:rsidRPr="00E26EF9" w:rsidRDefault="00304587" w:rsidP="004D79F8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Mover algún bien a un lugar distinto al que fue instalado, sin la supervisión del personal de la Coordinación.</w:t>
      </w:r>
    </w:p>
    <w:p w:rsidR="00A87A17" w:rsidRPr="00E26EF9" w:rsidRDefault="00A87A17" w:rsidP="004D79F8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Instalar o desinstalar programas.</w:t>
      </w:r>
    </w:p>
    <w:p w:rsidR="00A87A17" w:rsidRPr="00E26EF9" w:rsidRDefault="00A87A17" w:rsidP="004D79F8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Cambiar las configuraciones de cualquier bien o programa.</w:t>
      </w:r>
    </w:p>
    <w:p w:rsidR="00A87A17" w:rsidRPr="00E26EF9" w:rsidRDefault="00A87A17" w:rsidP="004D79F8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Remover partes o cubiertas de los bienes.</w:t>
      </w:r>
    </w:p>
    <w:p w:rsidR="00A87A17" w:rsidRPr="00E26EF9" w:rsidRDefault="00A87A17" w:rsidP="004D79F8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4D79F8">
      <w:pPr>
        <w:pStyle w:val="Prrafodelista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Establecer contraseñas a los bienes sin previa consulta a la Coordinación.</w:t>
      </w:r>
    </w:p>
    <w:p w:rsidR="00F13238" w:rsidRPr="00E26EF9" w:rsidRDefault="00F13238" w:rsidP="00E470E3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10.</w:t>
      </w:r>
      <w:r w:rsidRPr="00E26EF9">
        <w:rPr>
          <w:rFonts w:ascii="Gothic720 BT" w:eastAsia="Calibri" w:hAnsi="Gothic720 BT" w:cs="Times New Roman"/>
        </w:rPr>
        <w:t xml:space="preserve"> Será responsabilidad del funcionariado:</w:t>
      </w:r>
    </w:p>
    <w:p w:rsidR="00CF30C0" w:rsidRPr="00E26EF9" w:rsidRDefault="00CF30C0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CF30C0" w:rsidRPr="00E26EF9" w:rsidRDefault="00CF30C0" w:rsidP="00E20F3D">
      <w:pPr>
        <w:pStyle w:val="Prrafodelista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Informar a la Coordinación cuando los bienes, servicios o programas presenten alguna falla.</w:t>
      </w:r>
      <w:r w:rsidR="00AE3166" w:rsidRPr="00E26EF9">
        <w:rPr>
          <w:rFonts w:ascii="Gothic720 BT" w:eastAsia="Calibri" w:hAnsi="Gothic720 BT" w:cs="Times New Roman"/>
        </w:rPr>
        <w:t xml:space="preserve"> </w:t>
      </w:r>
      <w:r w:rsidR="00AE3166" w:rsidRPr="00E26EF9">
        <w:rPr>
          <w:rFonts w:ascii="Gothic720 BT" w:eastAsia="Calibri" w:hAnsi="Gothic720 BT" w:cs="Times New Roman"/>
          <w:vertAlign w:val="superscript"/>
        </w:rPr>
        <w:t>(</w:t>
      </w:r>
      <w:r w:rsidR="00AE3166" w:rsidRPr="00E26EF9">
        <w:rPr>
          <w:rFonts w:ascii="Gothic720 BT" w:hAnsi="Gothic720 BT"/>
          <w:vertAlign w:val="superscript"/>
        </w:rPr>
        <w:t>Fracción</w:t>
      </w:r>
      <w:r w:rsidR="00AE3166" w:rsidRPr="00E26EF9">
        <w:rPr>
          <w:rFonts w:ascii="Gothic720 BT" w:eastAsia="Calibri" w:hAnsi="Gothic720 BT" w:cs="Times New Roman"/>
          <w:vertAlign w:val="superscript"/>
        </w:rPr>
        <w:t xml:space="preserve"> modificad</w:t>
      </w:r>
      <w:r w:rsidR="00AE3166" w:rsidRPr="00E26EF9">
        <w:rPr>
          <w:rFonts w:ascii="Gothic720 BT" w:eastAsia="Calibri" w:hAnsi="Gothic720 BT" w:cs="Times New Roman"/>
          <w:vertAlign w:val="superscript"/>
        </w:rPr>
        <w:t>a</w:t>
      </w:r>
      <w:r w:rsidR="00AE3166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9B7694" w:rsidRPr="00E26EF9">
        <w:rPr>
          <w:rFonts w:ascii="Gothic720 BT" w:eastAsia="Calibri" w:hAnsi="Gothic720 BT" w:cs="Times New Roman"/>
          <w:vertAlign w:val="superscript"/>
        </w:rPr>
        <w:t>.</w:t>
      </w:r>
    </w:p>
    <w:p w:rsidR="00CF30C0" w:rsidRPr="00E26EF9" w:rsidRDefault="00CF30C0" w:rsidP="00E20F3D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CF30C0" w:rsidRPr="00E26EF9" w:rsidRDefault="00CF30C0" w:rsidP="00E20F3D">
      <w:pPr>
        <w:pStyle w:val="Prrafodelista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Apagar los bienes que tengan bajo su resguardo al término de su jornada laboral.</w:t>
      </w:r>
    </w:p>
    <w:p w:rsidR="00CF30C0" w:rsidRPr="00E26EF9" w:rsidRDefault="00CF30C0" w:rsidP="00E20F3D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CF30C0" w:rsidRPr="00E26EF9" w:rsidRDefault="00CF30C0" w:rsidP="00E20F3D">
      <w:pPr>
        <w:pStyle w:val="Prrafodelista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Utilizar los bienes y servicios para la ejecución de las actividades que les fueran encomendadas.</w:t>
      </w:r>
      <w:r w:rsidR="00AE3166" w:rsidRPr="00E26EF9">
        <w:rPr>
          <w:rFonts w:ascii="Gothic720 BT" w:eastAsia="Calibri" w:hAnsi="Gothic720 BT" w:cs="Times New Roman"/>
        </w:rPr>
        <w:t xml:space="preserve"> </w:t>
      </w:r>
      <w:r w:rsidR="00AE3166" w:rsidRPr="00E26EF9">
        <w:rPr>
          <w:rFonts w:ascii="Gothic720 BT" w:eastAsia="Calibri" w:hAnsi="Gothic720 BT" w:cs="Times New Roman"/>
          <w:vertAlign w:val="superscript"/>
        </w:rPr>
        <w:t>(</w:t>
      </w:r>
      <w:r w:rsidR="00AE3166" w:rsidRPr="00E26EF9">
        <w:rPr>
          <w:rFonts w:ascii="Gothic720 BT" w:hAnsi="Gothic720 BT"/>
          <w:vertAlign w:val="superscript"/>
        </w:rPr>
        <w:t>Fracción</w:t>
      </w:r>
      <w:r w:rsidR="00AE3166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9B7694" w:rsidRPr="00E26EF9">
        <w:rPr>
          <w:rFonts w:ascii="Gothic720 BT" w:eastAsia="Calibri" w:hAnsi="Gothic720 BT" w:cs="Times New Roman"/>
          <w:vertAlign w:val="superscript"/>
        </w:rPr>
        <w:t>adicionada</w:t>
      </w:r>
      <w:r w:rsidR="00AE3166" w:rsidRPr="00E26EF9">
        <w:rPr>
          <w:rFonts w:ascii="Gothic720 BT" w:eastAsia="Calibri" w:hAnsi="Gothic720 BT" w:cs="Times New Roman"/>
          <w:vertAlign w:val="superscript"/>
        </w:rPr>
        <w:t xml:space="preserve"> por Acuerdo IEEQ/CG/A/013/22)</w:t>
      </w:r>
      <w:r w:rsidR="009B7694" w:rsidRPr="00E26EF9">
        <w:rPr>
          <w:rFonts w:ascii="Gothic720 BT" w:eastAsia="Calibri" w:hAnsi="Gothic720 BT" w:cs="Times New Roman"/>
          <w:vertAlign w:val="superscript"/>
        </w:rPr>
        <w:t>.</w:t>
      </w:r>
    </w:p>
    <w:p w:rsidR="00CF30C0" w:rsidRPr="00E26EF9" w:rsidRDefault="00CF30C0" w:rsidP="00E20F3D">
      <w:pPr>
        <w:tabs>
          <w:tab w:val="left" w:pos="426"/>
        </w:tabs>
        <w:spacing w:after="0"/>
        <w:jc w:val="both"/>
        <w:rPr>
          <w:rFonts w:ascii="Gothic720 BT" w:eastAsia="Calibri" w:hAnsi="Gothic720 BT" w:cs="Times New Roman"/>
        </w:rPr>
      </w:pPr>
    </w:p>
    <w:p w:rsidR="00CF30C0" w:rsidRPr="00E26EF9" w:rsidRDefault="00CF30C0" w:rsidP="00E20F3D">
      <w:pPr>
        <w:pStyle w:val="Prrafodelista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Recibir capacitación técnica para el uso de los bienes y servicios bajo su resguardo.</w:t>
      </w:r>
      <w:r w:rsidR="009B7694" w:rsidRPr="00E26EF9">
        <w:rPr>
          <w:rFonts w:ascii="Gothic720 BT" w:eastAsia="Calibri" w:hAnsi="Gothic720 BT" w:cs="Times New Roman"/>
        </w:rPr>
        <w:t xml:space="preserve"> </w:t>
      </w:r>
      <w:r w:rsidR="009B7694" w:rsidRPr="00E26EF9">
        <w:rPr>
          <w:rFonts w:ascii="Gothic720 BT" w:eastAsia="Calibri" w:hAnsi="Gothic720 BT" w:cs="Times New Roman"/>
          <w:vertAlign w:val="superscript"/>
        </w:rPr>
        <w:t>(</w:t>
      </w:r>
      <w:r w:rsidR="009B7694" w:rsidRPr="00E26EF9">
        <w:rPr>
          <w:rFonts w:ascii="Gothic720 BT" w:hAnsi="Gothic720 BT"/>
          <w:vertAlign w:val="superscript"/>
        </w:rPr>
        <w:t>Fracción</w:t>
      </w:r>
      <w:r w:rsidR="009B7694" w:rsidRPr="00E26EF9">
        <w:rPr>
          <w:rFonts w:ascii="Gothic720 BT" w:eastAsia="Calibri" w:hAnsi="Gothic720 BT" w:cs="Times New Roman"/>
          <w:vertAlign w:val="superscript"/>
        </w:rPr>
        <w:t xml:space="preserve"> adicionada por Acuerdo IEEQ/CG/A/013/22).</w:t>
      </w: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11.</w:t>
      </w:r>
      <w:r w:rsidRPr="00E26EF9">
        <w:rPr>
          <w:rFonts w:ascii="Gothic720 BT" w:eastAsia="Calibri" w:hAnsi="Gothic720 BT" w:cs="Times New Roman"/>
        </w:rPr>
        <w:t xml:space="preserve"> Será responsabilidad de la Coordinación:</w:t>
      </w:r>
    </w:p>
    <w:p w:rsidR="00CF30C0" w:rsidRPr="00E26EF9" w:rsidRDefault="00CF30C0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Instalar los bienes, servicios y programas que requiera el funcionariado.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Instalar o desinstalar los programas que utilice el funcionariado.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Mantener actualizada una bitácora de los bienes, servicios y programas instalados.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Coadyuvar con las áreas del Instituto, a fin de que cada una prevea en el presupuesto de egresos, los bienes, servicios y programas que se requieran.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CF30C0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Ejecutar el mantenimiento preventivo o correctivo a los bienes.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 xml:space="preserve">Brindar asesoría técnica al funcionariado cuando sea </w:t>
      </w:r>
      <w:r w:rsidR="00CF30C0" w:rsidRPr="00E26EF9">
        <w:rPr>
          <w:rFonts w:ascii="Gothic720 BT" w:eastAsia="Calibri" w:hAnsi="Gothic720 BT" w:cs="Times New Roman"/>
        </w:rPr>
        <w:t>solicitado y al momento de la entrega de los bienes y servicios</w:t>
      </w:r>
      <w:r w:rsidRPr="00E26EF9">
        <w:rPr>
          <w:rFonts w:ascii="Gothic720 BT" w:eastAsia="Calibri" w:hAnsi="Gothic720 BT" w:cs="Times New Roman"/>
        </w:rPr>
        <w:t>.</w:t>
      </w:r>
      <w:r w:rsidR="00F47872" w:rsidRPr="00E26EF9">
        <w:rPr>
          <w:rFonts w:ascii="Gothic720 BT" w:eastAsia="Calibri" w:hAnsi="Gothic720 BT" w:cs="Times New Roman"/>
        </w:rPr>
        <w:t xml:space="preserve"> </w:t>
      </w:r>
      <w:r w:rsidR="00F47872" w:rsidRPr="00E26EF9">
        <w:rPr>
          <w:rFonts w:ascii="Gothic720 BT" w:eastAsia="Calibri" w:hAnsi="Gothic720 BT" w:cs="Times New Roman"/>
          <w:vertAlign w:val="superscript"/>
        </w:rPr>
        <w:t>(</w:t>
      </w:r>
      <w:r w:rsidR="00F47872" w:rsidRPr="00E26EF9">
        <w:rPr>
          <w:rFonts w:ascii="Gothic720 BT" w:hAnsi="Gothic720 BT"/>
          <w:vertAlign w:val="superscript"/>
        </w:rPr>
        <w:t>Fracción</w:t>
      </w:r>
      <w:r w:rsidR="00F47872" w:rsidRPr="00E26EF9">
        <w:rPr>
          <w:rFonts w:ascii="Gothic720 BT" w:eastAsia="Calibri" w:hAnsi="Gothic720 BT" w:cs="Times New Roman"/>
          <w:vertAlign w:val="superscript"/>
        </w:rPr>
        <w:t xml:space="preserve"> </w:t>
      </w:r>
      <w:r w:rsidR="00F47872" w:rsidRPr="00E26EF9">
        <w:rPr>
          <w:rFonts w:ascii="Gothic720 BT" w:eastAsia="Calibri" w:hAnsi="Gothic720 BT" w:cs="Times New Roman"/>
          <w:vertAlign w:val="superscript"/>
        </w:rPr>
        <w:t>modificada</w:t>
      </w:r>
      <w:r w:rsidR="00F47872"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CF30C0" w:rsidRPr="00E26EF9" w:rsidRDefault="00CF30C0" w:rsidP="00E20F3D">
      <w:pPr>
        <w:pStyle w:val="Prrafodelista"/>
        <w:tabs>
          <w:tab w:val="left" w:pos="426"/>
        </w:tabs>
        <w:spacing w:after="0"/>
        <w:ind w:left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20F3D">
      <w:pPr>
        <w:pStyle w:val="Prrafodelista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Llevar un registro de los mantenimientos o servicios proporcionados a los bienes y programas bajo resguardo del funcionariado.</w:t>
      </w:r>
    </w:p>
    <w:p w:rsidR="00544C76" w:rsidRPr="00E26EF9" w:rsidRDefault="00544C76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08669F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12.</w:t>
      </w:r>
      <w:r w:rsidRPr="00E26EF9">
        <w:rPr>
          <w:rFonts w:ascii="Gothic720 BT" w:eastAsia="Calibri" w:hAnsi="Gothic720 BT" w:cs="Times New Roman"/>
        </w:rPr>
        <w:t xml:space="preserve"> </w:t>
      </w:r>
      <w:r w:rsidR="00CF30C0" w:rsidRPr="00E26EF9">
        <w:rPr>
          <w:rFonts w:ascii="Gothic720 BT" w:eastAsia="Calibri" w:hAnsi="Gothic720 BT" w:cs="Times New Roman"/>
        </w:rPr>
        <w:t xml:space="preserve">Cuando ocurra un daño o extravío de algún bien como consecuencia del mal uso, descuido, uso inadecuado de un servicio o por el incumplimiento a las disposiciones </w:t>
      </w:r>
      <w:r w:rsidR="00CF30C0" w:rsidRPr="00E26EF9">
        <w:rPr>
          <w:rFonts w:ascii="Gothic720 BT" w:eastAsia="Calibri" w:hAnsi="Gothic720 BT" w:cs="Times New Roman"/>
        </w:rPr>
        <w:lastRenderedPageBreak/>
        <w:t>previstas en los Lineamientos, la Coordinación elaborará un informe y lo remitirá a la Secretaría Ejecutiva para todos los efectos que, en su caso, correspondan.</w:t>
      </w:r>
      <w:r w:rsidR="00012801" w:rsidRPr="00E26EF9">
        <w:rPr>
          <w:rFonts w:ascii="Gothic720 BT" w:eastAsia="Calibri" w:hAnsi="Gothic720 BT" w:cs="Times New Roman"/>
        </w:rPr>
        <w:t xml:space="preserve"> </w:t>
      </w:r>
    </w:p>
    <w:p w:rsidR="00F13238" w:rsidRPr="00E26EF9" w:rsidRDefault="00012801" w:rsidP="00E470E3">
      <w:pPr>
        <w:spacing w:after="0"/>
        <w:jc w:val="both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vertAlign w:val="superscript"/>
        </w:rPr>
        <w:t>(</w:t>
      </w:r>
      <w:r w:rsidR="0008669F">
        <w:rPr>
          <w:rFonts w:ascii="Gothic720 BT" w:hAnsi="Gothic720 BT"/>
          <w:vertAlign w:val="superscript"/>
        </w:rPr>
        <w:t xml:space="preserve">Artículo </w:t>
      </w:r>
      <w:r w:rsidRPr="00E26EF9">
        <w:rPr>
          <w:rFonts w:ascii="Gothic720 BT" w:eastAsia="Calibri" w:hAnsi="Gothic720 BT" w:cs="Times New Roman"/>
          <w:vertAlign w:val="superscript"/>
        </w:rPr>
        <w:t>modificado</w:t>
      </w:r>
      <w:r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13.</w:t>
      </w:r>
      <w:r w:rsidRPr="00E26EF9">
        <w:rPr>
          <w:rFonts w:ascii="Gothic720 BT" w:eastAsia="Calibri" w:hAnsi="Gothic720 BT" w:cs="Times New Roman"/>
        </w:rPr>
        <w:t xml:space="preserve"> El funcionariado evitará la descarga y utilización de programas que no cuenten con una licencia otorgada a favor del Instituto, excepto cuando se trate de programas con licencia pública general o que se distribuya de manera gratuita, siempre y cuando el propósito de dicho programa sea en apoyo de las actividades que se desempeñan</w:t>
      </w:r>
      <w:r w:rsidR="00BD6D03" w:rsidRPr="00E26EF9">
        <w:rPr>
          <w:rFonts w:ascii="Gothic720 BT" w:eastAsia="Calibri" w:hAnsi="Gothic720 BT" w:cs="Times New Roman"/>
        </w:rPr>
        <w:t>,</w:t>
      </w:r>
      <w:r w:rsidR="00BD6D03" w:rsidRPr="00E26EF9">
        <w:rPr>
          <w:rFonts w:ascii="Gothic720 BT" w:hAnsi="Gothic720 BT"/>
        </w:rPr>
        <w:t xml:space="preserve"> </w:t>
      </w:r>
      <w:r w:rsidR="00BD6D03" w:rsidRPr="00E26EF9">
        <w:rPr>
          <w:rFonts w:ascii="Gothic720 BT" w:eastAsia="Calibri" w:hAnsi="Gothic720 BT" w:cs="Times New Roman"/>
        </w:rPr>
        <w:t>previo análisis y autorización por escrito de la Coordinación para su uso.</w:t>
      </w:r>
      <w:r w:rsidR="00012801" w:rsidRPr="00E26EF9">
        <w:rPr>
          <w:rFonts w:ascii="Gothic720 BT" w:eastAsia="Calibri" w:hAnsi="Gothic720 BT" w:cs="Times New Roman"/>
        </w:rPr>
        <w:t xml:space="preserve"> </w:t>
      </w:r>
      <w:r w:rsidR="00012801" w:rsidRPr="00E26EF9">
        <w:rPr>
          <w:rFonts w:ascii="Gothic720 BT" w:eastAsia="Calibri" w:hAnsi="Gothic720 BT" w:cs="Times New Roman"/>
          <w:vertAlign w:val="superscript"/>
        </w:rPr>
        <w:t>(</w:t>
      </w:r>
      <w:r w:rsidR="0008669F">
        <w:rPr>
          <w:rFonts w:ascii="Gothic720 BT" w:hAnsi="Gothic720 BT"/>
          <w:vertAlign w:val="superscript"/>
        </w:rPr>
        <w:t xml:space="preserve">Artículo </w:t>
      </w:r>
      <w:r w:rsidR="00012801" w:rsidRPr="00E26EF9">
        <w:rPr>
          <w:rFonts w:ascii="Gothic720 BT" w:hAnsi="Gothic720 BT"/>
          <w:vertAlign w:val="superscript"/>
        </w:rPr>
        <w:t>modificado</w:t>
      </w:r>
      <w:r w:rsidR="00012801"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CAPÍTULO III</w:t>
      </w: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PROTECCIÓN Y SEGURIDAD DE LA INFORMACIÓN</w:t>
      </w: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14.</w:t>
      </w:r>
      <w:r w:rsidRPr="00E26EF9">
        <w:rPr>
          <w:rFonts w:ascii="Gothic720 BT" w:eastAsia="Calibri" w:hAnsi="Gothic720 BT" w:cs="Times New Roman"/>
        </w:rPr>
        <w:t xml:space="preserve"> La Coordinación proporcionará al funcionariado los nombres de usuario y contraseñas que requiera, debiendo conservarse en la confidencialidad por ambas partes.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En caso de extraviar u olvidar dicha información deberá hacerlo del conocimiento de la Coordinación a efecto de tomar las medidas pertinentes.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15.</w:t>
      </w:r>
      <w:r w:rsidRPr="00E26EF9">
        <w:rPr>
          <w:rFonts w:ascii="Gothic720 BT" w:eastAsia="Calibri" w:hAnsi="Gothic720 BT" w:cs="Times New Roman"/>
        </w:rPr>
        <w:t xml:space="preserve"> Toda la información que el funcionariado genere, administre, consulte o almacene en cualquier medio, no podrá ser revelada ni entregada a personas ajenas al Instituto, excepto cuando la misma tenga que ser auditada, verificada o proporcionada en términos de la normatividad aplicable.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16.</w:t>
      </w:r>
      <w:r w:rsidRPr="00E26EF9">
        <w:rPr>
          <w:rFonts w:ascii="Gothic720 BT" w:eastAsia="Calibri" w:hAnsi="Gothic720 BT" w:cs="Times New Roman"/>
        </w:rPr>
        <w:t xml:space="preserve"> El funcionariado procurará que la información se almacene en una estructura de directorios ordenada y clasificada dentro de los dispositivos de almacenamiento con que cuente.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17.</w:t>
      </w:r>
      <w:r w:rsidRPr="00E26EF9">
        <w:rPr>
          <w:rFonts w:ascii="Gothic720 BT" w:eastAsia="Calibri" w:hAnsi="Gothic720 BT" w:cs="Times New Roman"/>
        </w:rPr>
        <w:t xml:space="preserve"> El funcionariado deberá realizar periódicamente respaldos de la información que haya generado y que se encuentre en alguno de los bienes que tiene bajo su resguardo, en este caso, la Coordinación brindará orientación sobre el método y medio más idóneos para su realización.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17 Bis.</w:t>
      </w:r>
      <w:r w:rsidRPr="00E26EF9">
        <w:rPr>
          <w:rFonts w:ascii="Gothic720 BT" w:eastAsia="Calibri" w:hAnsi="Gothic720 BT" w:cs="Times New Roman"/>
        </w:rPr>
        <w:t xml:space="preserve"> Es responsabilidad del funcionariado del Instituto procurar la integridad y seguridad de la información que obre en los bienes y servicios, de conformidad con las medidas de seguridad técnicas, físicas y administrativas previstas en la Ley General de Protección de Datos Personales en Posesión de Sujetos Obligados y la Ley de Protección de Datos Personales en Posesión de Sujetos Obligados del Estado de Querétaro. 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08669F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 xml:space="preserve">La Coordinación deberá implementar las medidas de seguridad técnicas, físicas y administrativas, además de emitir los criterios y directrices que deba observar el </w:t>
      </w:r>
      <w:r w:rsidRPr="00E26EF9">
        <w:rPr>
          <w:rFonts w:ascii="Gothic720 BT" w:eastAsia="Calibri" w:hAnsi="Gothic720 BT" w:cs="Times New Roman"/>
        </w:rPr>
        <w:lastRenderedPageBreak/>
        <w:t>funcionariado del Instituto, así como mantener su actualización y hacerlos de su conocimiento a través de la Secretaría Ejecutiva.</w:t>
      </w:r>
      <w:r w:rsidR="00012801" w:rsidRPr="00E26EF9">
        <w:rPr>
          <w:rFonts w:ascii="Gothic720 BT" w:eastAsia="Calibri" w:hAnsi="Gothic720 BT" w:cs="Times New Roman"/>
        </w:rPr>
        <w:t xml:space="preserve"> </w:t>
      </w:r>
    </w:p>
    <w:p w:rsidR="00BD6D03" w:rsidRPr="00E26EF9" w:rsidRDefault="00012801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vertAlign w:val="superscript"/>
        </w:rPr>
        <w:t>(</w:t>
      </w:r>
      <w:r w:rsidR="0008669F">
        <w:rPr>
          <w:rFonts w:ascii="Gothic720 BT" w:hAnsi="Gothic720 BT"/>
          <w:vertAlign w:val="superscript"/>
        </w:rPr>
        <w:t>Artículo</w:t>
      </w:r>
      <w:r w:rsidRPr="00E26EF9">
        <w:rPr>
          <w:rFonts w:ascii="Gothic720 BT" w:eastAsia="Calibri" w:hAnsi="Gothic720 BT" w:cs="Times New Roman"/>
          <w:vertAlign w:val="superscript"/>
        </w:rPr>
        <w:t xml:space="preserve"> adicionad</w:t>
      </w:r>
      <w:r w:rsidRPr="00E26EF9">
        <w:rPr>
          <w:rFonts w:ascii="Gothic720 BT" w:eastAsia="Calibri" w:hAnsi="Gothic720 BT" w:cs="Times New Roman"/>
          <w:vertAlign w:val="superscript"/>
        </w:rPr>
        <w:t>o</w:t>
      </w:r>
      <w:r w:rsidRPr="00E26EF9">
        <w:rPr>
          <w:rFonts w:ascii="Gothic720 BT" w:eastAsia="Calibri" w:hAnsi="Gothic720 BT" w:cs="Times New Roman"/>
          <w:vertAlign w:val="superscript"/>
        </w:rPr>
        <w:t xml:space="preserve"> por Acuerdo IEEQ/CG/A/013/22).</w:t>
      </w:r>
    </w:p>
    <w:p w:rsidR="001A4771" w:rsidRPr="00E26EF9" w:rsidRDefault="001A4771" w:rsidP="00E470E3">
      <w:pPr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CAPÍTULO IV</w:t>
      </w:r>
    </w:p>
    <w:p w:rsidR="00F13238" w:rsidRPr="00E26EF9" w:rsidRDefault="00F13238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USO DEL INTERNET Y CORREO ELECTRÓNICO</w:t>
      </w: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18.</w:t>
      </w:r>
      <w:r w:rsidRPr="00E26EF9">
        <w:rPr>
          <w:rFonts w:ascii="Gothic720 BT" w:eastAsia="Calibri" w:hAnsi="Gothic720 BT" w:cs="Times New Roman"/>
        </w:rPr>
        <w:t xml:space="preserve"> El Instituto contará con un enlace de comunicación principal y otro de respaldo para el acceso a internet, por lo que en la Red sólo se permitirá la interconexión de los bienes. </w:t>
      </w: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En caso de existir suficiencia presupuestal, podrá habilitarse un enlace más para la interconexión exclusiva de dispositivos de carácter personal o para visitantes.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19.</w:t>
      </w:r>
      <w:r w:rsidRPr="00E26EF9">
        <w:rPr>
          <w:rFonts w:ascii="Gothic720 BT" w:eastAsia="Calibri" w:hAnsi="Gothic720 BT" w:cs="Times New Roman"/>
        </w:rPr>
        <w:t xml:space="preserve"> La Coordinación tendrá la facultad de monitorear el consumo de bits hacia y desde internet, asimismo, deberá establecer mecanismos para priorizar y balancear la capacidad de transferencia de los bienes.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20.</w:t>
      </w:r>
      <w:r w:rsidRPr="00E26EF9">
        <w:rPr>
          <w:rFonts w:ascii="Gothic720 BT" w:eastAsia="Calibri" w:hAnsi="Gothic720 BT" w:cs="Times New Roman"/>
        </w:rPr>
        <w:t xml:space="preserve"> La Coordinación deberá proponer a la Secretaría Ejecutiva, las categorías de contenidos que podrán ser susceptibles de restricción.</w:t>
      </w:r>
    </w:p>
    <w:p w:rsidR="001A4771" w:rsidRPr="00E26EF9" w:rsidRDefault="001A4771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21.</w:t>
      </w:r>
      <w:r w:rsidRPr="00E26EF9">
        <w:rPr>
          <w:rFonts w:ascii="Gothic720 BT" w:eastAsia="Calibri" w:hAnsi="Gothic720 BT" w:cs="Times New Roman"/>
        </w:rPr>
        <w:t xml:space="preserve"> El funcionariado evitará hacer uso de algún bien para el acceso a sitios relacionados con redes sociales así como a sistemas y plataformas de internet en las que se descargue, transmita o comparta video y audio, excepto cuando deban realizarse en cumplimiento de sus atribuciones.</w:t>
      </w:r>
    </w:p>
    <w:p w:rsidR="003F2AAA" w:rsidRPr="00E26EF9" w:rsidRDefault="003F2AAA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22.</w:t>
      </w:r>
      <w:r w:rsidRPr="00E26EF9">
        <w:rPr>
          <w:rFonts w:ascii="Gothic720 BT" w:eastAsia="Calibri" w:hAnsi="Gothic720 BT" w:cs="Times New Roman"/>
        </w:rPr>
        <w:t xml:space="preserve"> </w:t>
      </w:r>
      <w:r w:rsidR="00BD6D03" w:rsidRPr="00E26EF9">
        <w:rPr>
          <w:rFonts w:ascii="Gothic720 BT" w:eastAsia="Calibri" w:hAnsi="Gothic720 BT" w:cs="Times New Roman"/>
        </w:rPr>
        <w:t xml:space="preserve">Quien haga uso del correo electrónico institucional, deberá cerciorarse de la autenticidad del remitente y evitar, en su caso, la descarga de archivos adjuntos con extensiones </w:t>
      </w:r>
      <w:proofErr w:type="spellStart"/>
      <w:r w:rsidR="00BD6D03" w:rsidRPr="00E26EF9">
        <w:rPr>
          <w:rFonts w:ascii="Gothic720 BT" w:eastAsia="Calibri" w:hAnsi="Gothic720 BT" w:cs="Times New Roman"/>
        </w:rPr>
        <w:t>BAT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BIN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COM, </w:t>
      </w:r>
      <w:proofErr w:type="spellStart"/>
      <w:r w:rsidR="00BD6D03" w:rsidRPr="00E26EF9">
        <w:rPr>
          <w:rFonts w:ascii="Gothic720 BT" w:eastAsia="Calibri" w:hAnsi="Gothic720 BT" w:cs="Times New Roman"/>
        </w:rPr>
        <w:t>CPL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CMD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DOT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EXE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PIF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RAR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</w:t>
      </w:r>
      <w:proofErr w:type="spellStart"/>
      <w:r w:rsidR="00BD6D03" w:rsidRPr="00E26EF9">
        <w:rPr>
          <w:rFonts w:ascii="Gothic720 BT" w:eastAsia="Calibri" w:hAnsi="Gothic720 BT" w:cs="Times New Roman"/>
        </w:rPr>
        <w:t>REG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, SCR, </w:t>
      </w:r>
      <w:proofErr w:type="spellStart"/>
      <w:r w:rsidR="00BD6D03" w:rsidRPr="00E26EF9">
        <w:rPr>
          <w:rFonts w:ascii="Gothic720 BT" w:eastAsia="Calibri" w:hAnsi="Gothic720 BT" w:cs="Times New Roman"/>
        </w:rPr>
        <w:t>VBS</w:t>
      </w:r>
      <w:proofErr w:type="spellEnd"/>
      <w:r w:rsidR="00BD6D03" w:rsidRPr="00E26EF9">
        <w:rPr>
          <w:rFonts w:ascii="Gothic720 BT" w:eastAsia="Calibri" w:hAnsi="Gothic720 BT" w:cs="Times New Roman"/>
        </w:rPr>
        <w:t xml:space="preserve"> y ZIP o dar clic en enlaces de Internet de procedencia desconocida.</w:t>
      </w:r>
      <w:r w:rsidR="00012801" w:rsidRPr="00E26EF9">
        <w:rPr>
          <w:rFonts w:ascii="Gothic720 BT" w:eastAsia="Calibri" w:hAnsi="Gothic720 BT" w:cs="Times New Roman"/>
        </w:rPr>
        <w:t xml:space="preserve"> </w:t>
      </w:r>
      <w:r w:rsidR="00012801" w:rsidRPr="00E26EF9">
        <w:rPr>
          <w:rFonts w:ascii="Gothic720 BT" w:eastAsia="Calibri" w:hAnsi="Gothic720 BT" w:cs="Times New Roman"/>
          <w:vertAlign w:val="superscript"/>
        </w:rPr>
        <w:t>(</w:t>
      </w:r>
      <w:r w:rsidR="0008669F">
        <w:rPr>
          <w:rFonts w:ascii="Gothic720 BT" w:eastAsia="Calibri" w:hAnsi="Gothic720 BT" w:cs="Times New Roman"/>
          <w:vertAlign w:val="superscript"/>
        </w:rPr>
        <w:t>Artículo m</w:t>
      </w:r>
      <w:r w:rsidR="00012801" w:rsidRPr="00E26EF9">
        <w:rPr>
          <w:rFonts w:ascii="Gothic720 BT" w:hAnsi="Gothic720 BT"/>
          <w:vertAlign w:val="superscript"/>
        </w:rPr>
        <w:t xml:space="preserve">odificado </w:t>
      </w:r>
      <w:r w:rsidR="00012801" w:rsidRPr="00E26EF9">
        <w:rPr>
          <w:rFonts w:ascii="Gothic720 BT" w:eastAsia="Calibri" w:hAnsi="Gothic720 BT" w:cs="Times New Roman"/>
          <w:vertAlign w:val="superscript"/>
        </w:rPr>
        <w:t>por</w:t>
      </w:r>
      <w:r w:rsidR="00012801" w:rsidRPr="00E26EF9">
        <w:rPr>
          <w:rFonts w:ascii="Gothic720 BT" w:eastAsia="Calibri" w:hAnsi="Gothic720 BT" w:cs="Times New Roman"/>
          <w:vertAlign w:val="superscript"/>
        </w:rPr>
        <w:t xml:space="preserve"> Acuerdo IEEQ/CG/A/013/22).</w:t>
      </w:r>
    </w:p>
    <w:p w:rsidR="003F2AAA" w:rsidRPr="00E26EF9" w:rsidRDefault="003F2AAA" w:rsidP="00E470E3">
      <w:pPr>
        <w:spacing w:after="0"/>
        <w:jc w:val="both"/>
        <w:rPr>
          <w:rFonts w:ascii="Gothic720 BT" w:eastAsia="Calibri" w:hAnsi="Gothic720 BT" w:cs="Times New Roman"/>
          <w:b/>
        </w:rPr>
      </w:pPr>
    </w:p>
    <w:p w:rsidR="001F3805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23.</w:t>
      </w:r>
      <w:r w:rsidRPr="00E26EF9">
        <w:rPr>
          <w:rFonts w:ascii="Gothic720 BT" w:eastAsia="Calibri" w:hAnsi="Gothic720 BT" w:cs="Times New Roman"/>
        </w:rPr>
        <w:t xml:space="preserve"> </w:t>
      </w:r>
      <w:r w:rsidR="001F3805" w:rsidRPr="00E26EF9">
        <w:rPr>
          <w:rFonts w:ascii="Gothic720 BT" w:eastAsia="Calibri" w:hAnsi="Gothic720 BT" w:cs="Times New Roman"/>
        </w:rPr>
        <w:t>La Coordinación proporcionará al funcionariado cuyas actividades lo requieran un correo electrónico con el nombre de dominio institucional, quien deberá depurarlo de manera permanente.</w:t>
      </w:r>
      <w:r w:rsidR="005C0B78" w:rsidRPr="00E26EF9">
        <w:rPr>
          <w:rFonts w:ascii="Gothic720 BT" w:eastAsia="Calibri" w:hAnsi="Gothic720 BT" w:cs="Times New Roman"/>
        </w:rPr>
        <w:t xml:space="preserve"> </w:t>
      </w:r>
      <w:r w:rsidR="005C0B78" w:rsidRPr="00E26EF9">
        <w:rPr>
          <w:rFonts w:ascii="Gothic720 BT" w:eastAsia="Calibri" w:hAnsi="Gothic720 BT" w:cs="Times New Roman"/>
          <w:vertAlign w:val="superscript"/>
        </w:rPr>
        <w:t>(</w:t>
      </w:r>
      <w:r w:rsidR="005C0B78" w:rsidRPr="00E26EF9">
        <w:rPr>
          <w:rFonts w:ascii="Gothic720 BT" w:hAnsi="Gothic720 BT"/>
          <w:vertAlign w:val="superscript"/>
        </w:rPr>
        <w:t xml:space="preserve">Párrafo modificado </w:t>
      </w:r>
      <w:r w:rsidR="005C0B78" w:rsidRPr="00E26EF9">
        <w:rPr>
          <w:rFonts w:ascii="Gothic720 BT" w:eastAsia="Calibri" w:hAnsi="Gothic720 BT" w:cs="Times New Roman"/>
          <w:vertAlign w:val="superscript"/>
        </w:rPr>
        <w:t>por Acuerdo IEEQ/CG/A/013/22).</w:t>
      </w:r>
    </w:p>
    <w:p w:rsidR="001F3805" w:rsidRPr="00E26EF9" w:rsidRDefault="001F3805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1F3805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</w:rPr>
        <w:t>Cada área u órgano del Instituto contará con un correo electrónico institucional que estará a cargo de la persona titular correspondiente o de quien esta designe mediante oficio.</w:t>
      </w:r>
    </w:p>
    <w:p w:rsidR="00BD6D03" w:rsidRPr="00E26EF9" w:rsidRDefault="00BD6D03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F13238" w:rsidRPr="00E26EF9" w:rsidRDefault="00F13238" w:rsidP="00E470E3">
      <w:pPr>
        <w:spacing w:after="0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Calibri" w:hAnsi="Gothic720 BT" w:cs="Times New Roman"/>
          <w:b/>
        </w:rPr>
        <w:t>Artículo 24.</w:t>
      </w:r>
      <w:r w:rsidRPr="00E26EF9">
        <w:rPr>
          <w:rFonts w:ascii="Gothic720 BT" w:eastAsia="Calibri" w:hAnsi="Gothic720 BT" w:cs="Times New Roman"/>
        </w:rPr>
        <w:t xml:space="preserve"> Cuando se requiera transmitir un mensaje de correo electrónico a varios destinatarios, el número de buzones no deberá exceder de diez, por lo que a partir de la segunda cuenta de correo, se utilizará el espacio designado para copias ocultas.</w:t>
      </w:r>
    </w:p>
    <w:p w:rsidR="001F3805" w:rsidRPr="00E26EF9" w:rsidRDefault="001F3805" w:rsidP="00E470E3">
      <w:pPr>
        <w:spacing w:after="0"/>
        <w:jc w:val="both"/>
        <w:rPr>
          <w:rFonts w:ascii="Gothic720 BT" w:eastAsia="Calibri" w:hAnsi="Gothic720 BT" w:cs="Times New Roman"/>
        </w:rPr>
      </w:pPr>
    </w:p>
    <w:p w:rsidR="005345E9" w:rsidRPr="00E26EF9" w:rsidRDefault="005345E9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CAPÍTULO V</w:t>
      </w:r>
    </w:p>
    <w:p w:rsidR="001F3805" w:rsidRPr="00E26EF9" w:rsidRDefault="005345E9" w:rsidP="00E470E3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lastRenderedPageBreak/>
        <w:t>GESTIÓN DE BIENES Y SERVICIOS DE TECNOLOGÍA DE LA INFORMACIÓN Y COMUNICACIONES</w:t>
      </w:r>
    </w:p>
    <w:p w:rsidR="00F13238" w:rsidRPr="00E26EF9" w:rsidRDefault="00F13238" w:rsidP="00E470E3">
      <w:pPr>
        <w:spacing w:after="0"/>
        <w:jc w:val="both"/>
        <w:rPr>
          <w:rFonts w:ascii="Gothic720 BT" w:eastAsia="Arial" w:hAnsi="Gothic720 BT" w:cs="Arial"/>
          <w:spacing w:val="-1"/>
        </w:rPr>
      </w:pPr>
    </w:p>
    <w:p w:rsidR="005345E9" w:rsidRPr="00E26EF9" w:rsidRDefault="005345E9" w:rsidP="00E470E3">
      <w:pPr>
        <w:spacing w:after="0"/>
        <w:jc w:val="both"/>
        <w:rPr>
          <w:rFonts w:ascii="Gothic720 BT" w:eastAsia="Calibri" w:hAnsi="Gothic720 BT" w:cs="Times New Roman"/>
          <w:vertAlign w:val="superscript"/>
        </w:rPr>
      </w:pPr>
      <w:r w:rsidRPr="00E26EF9">
        <w:rPr>
          <w:rFonts w:ascii="Gothic720 BT" w:eastAsia="Arial" w:hAnsi="Gothic720 BT" w:cs="Arial"/>
          <w:b/>
          <w:spacing w:val="-1"/>
        </w:rPr>
        <w:t>Artículo 25.</w:t>
      </w:r>
      <w:r w:rsidRPr="00E26EF9">
        <w:rPr>
          <w:rFonts w:ascii="Gothic720 BT" w:eastAsia="Arial" w:hAnsi="Gothic720 BT" w:cs="Arial"/>
          <w:spacing w:val="-1"/>
        </w:rPr>
        <w:t xml:space="preserve"> La Coordinación en conjunto con las áreas involucradas deberán evaluar y dar seguimiento de manera continua el uso actual y futuro de los bienes y servicios de las Tecnologías de la Información y las Comunicaciones del Instituto, con el propósito de que cumplan con su objetivo y la calidad que se requiera.</w:t>
      </w:r>
      <w:r w:rsidR="005C0B78" w:rsidRPr="00E26EF9">
        <w:rPr>
          <w:rFonts w:ascii="Gothic720 BT" w:eastAsia="Arial" w:hAnsi="Gothic720 BT" w:cs="Arial"/>
          <w:spacing w:val="-1"/>
        </w:rPr>
        <w:t xml:space="preserve"> </w:t>
      </w:r>
      <w:r w:rsidR="005C0B78" w:rsidRPr="00E26EF9">
        <w:rPr>
          <w:rFonts w:ascii="Gothic720 BT" w:eastAsia="Calibri" w:hAnsi="Gothic720 BT" w:cs="Times New Roman"/>
          <w:vertAlign w:val="superscript"/>
        </w:rPr>
        <w:t>(</w:t>
      </w:r>
      <w:r w:rsidR="005C0B78" w:rsidRPr="00E26EF9">
        <w:rPr>
          <w:rFonts w:ascii="Gothic720 BT" w:hAnsi="Gothic720 BT"/>
          <w:vertAlign w:val="superscript"/>
        </w:rPr>
        <w:t>Artículo adicionado</w:t>
      </w:r>
      <w:r w:rsidR="005C0B78" w:rsidRPr="00E26EF9">
        <w:rPr>
          <w:rFonts w:ascii="Gothic720 BT" w:hAnsi="Gothic720 BT"/>
          <w:vertAlign w:val="superscript"/>
        </w:rPr>
        <w:t xml:space="preserve"> </w:t>
      </w:r>
      <w:r w:rsidR="005C0B78" w:rsidRPr="00E26EF9">
        <w:rPr>
          <w:rFonts w:ascii="Gothic720 BT" w:eastAsia="Calibri" w:hAnsi="Gothic720 BT" w:cs="Times New Roman"/>
          <w:vertAlign w:val="superscript"/>
        </w:rPr>
        <w:t>por Acuerdo IEEQ/CG/A/013/22).</w:t>
      </w:r>
    </w:p>
    <w:p w:rsidR="005C0B78" w:rsidRPr="00E26EF9" w:rsidRDefault="005C0B78" w:rsidP="005C0B78">
      <w:pPr>
        <w:spacing w:after="0"/>
        <w:jc w:val="both"/>
        <w:rPr>
          <w:rFonts w:ascii="Gothic720 BT" w:eastAsia="Calibri" w:hAnsi="Gothic720 BT" w:cs="Times New Roman"/>
          <w:vertAlign w:val="superscript"/>
        </w:rPr>
      </w:pPr>
    </w:p>
    <w:p w:rsidR="005C0B78" w:rsidRPr="00E26EF9" w:rsidRDefault="005C0B78" w:rsidP="005C0B78">
      <w:pPr>
        <w:spacing w:after="0" w:line="240" w:lineRule="auto"/>
        <w:jc w:val="center"/>
        <w:rPr>
          <w:rFonts w:ascii="Gothic720 BT" w:eastAsia="Arial" w:hAnsi="Gothic720 BT" w:cs="Arial"/>
          <w:b/>
          <w:spacing w:val="-1"/>
        </w:rPr>
      </w:pPr>
      <w:r w:rsidRPr="00E26EF9">
        <w:rPr>
          <w:rFonts w:ascii="Gothic720 BT" w:eastAsia="Arial" w:hAnsi="Gothic720 BT" w:cs="Arial"/>
          <w:b/>
          <w:spacing w:val="-1"/>
        </w:rPr>
        <w:t>TRANSITORIOS</w:t>
      </w:r>
    </w:p>
    <w:p w:rsidR="00B81551" w:rsidRPr="00E26EF9" w:rsidRDefault="00B81551" w:rsidP="00B81551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vertAlign w:val="superscript"/>
        </w:rPr>
        <w:t xml:space="preserve">(Acuerdo de </w:t>
      </w:r>
      <w:r w:rsidRPr="00E26EF9">
        <w:rPr>
          <w:rFonts w:ascii="Gothic720 BT" w:eastAsia="Calibri" w:hAnsi="Gothic720 BT" w:cs="Times New Roman"/>
          <w:vertAlign w:val="superscript"/>
        </w:rPr>
        <w:t>21</w:t>
      </w:r>
      <w:r w:rsidRPr="00E26EF9">
        <w:rPr>
          <w:rFonts w:ascii="Gothic720 BT" w:eastAsia="Calibri" w:hAnsi="Gothic720 BT" w:cs="Times New Roman"/>
          <w:vertAlign w:val="superscript"/>
        </w:rPr>
        <w:t xml:space="preserve"> de </w:t>
      </w:r>
      <w:r w:rsidRPr="00E26EF9">
        <w:rPr>
          <w:rFonts w:ascii="Gothic720 BT" w:eastAsia="Calibri" w:hAnsi="Gothic720 BT" w:cs="Times New Roman"/>
          <w:vertAlign w:val="superscript"/>
        </w:rPr>
        <w:t>julio</w:t>
      </w:r>
      <w:r w:rsidRPr="00E26EF9">
        <w:rPr>
          <w:rFonts w:ascii="Gothic720 BT" w:eastAsia="Calibri" w:hAnsi="Gothic720 BT" w:cs="Times New Roman"/>
          <w:vertAlign w:val="superscript"/>
        </w:rPr>
        <w:t xml:space="preserve"> de </w:t>
      </w:r>
      <w:r w:rsidRPr="00E26EF9">
        <w:rPr>
          <w:rFonts w:ascii="Gothic720 BT" w:eastAsia="Calibri" w:hAnsi="Gothic720 BT" w:cs="Times New Roman"/>
          <w:vertAlign w:val="superscript"/>
        </w:rPr>
        <w:t>2017</w:t>
      </w:r>
      <w:r w:rsidRPr="00E26EF9">
        <w:rPr>
          <w:rFonts w:ascii="Gothic720 BT" w:eastAsia="Calibri" w:hAnsi="Gothic720 BT" w:cs="Times New Roman"/>
          <w:vertAlign w:val="superscript"/>
        </w:rPr>
        <w:t>).</w:t>
      </w: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  <w:b/>
        </w:rPr>
      </w:pP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  <w:r w:rsidRPr="00E26EF9">
        <w:rPr>
          <w:rFonts w:ascii="Gothic720 BT" w:eastAsia="Arial" w:hAnsi="Gothic720 BT" w:cs="Arial"/>
          <w:b/>
        </w:rPr>
        <w:t xml:space="preserve">Artículo primero. </w:t>
      </w:r>
      <w:r w:rsidRPr="00E26EF9">
        <w:rPr>
          <w:rFonts w:ascii="Gothic720 BT" w:eastAsia="Arial" w:hAnsi="Gothic720 BT" w:cs="Arial"/>
        </w:rPr>
        <w:t>Se abrogan los Lineamientos para la Utilización de los servicios y Bienes Informáticos del Instituto Electoral de Querétaro.</w:t>
      </w: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  <w:r w:rsidRPr="00E26EF9">
        <w:rPr>
          <w:rFonts w:ascii="Gothic720 BT" w:eastAsia="Arial" w:hAnsi="Gothic720 BT" w:cs="Arial"/>
          <w:b/>
        </w:rPr>
        <w:t xml:space="preserve">Artículo segundo. </w:t>
      </w:r>
      <w:r w:rsidRPr="00E26EF9">
        <w:rPr>
          <w:rFonts w:ascii="Gothic720 BT" w:eastAsia="Arial" w:hAnsi="Gothic720 BT" w:cs="Arial"/>
        </w:rPr>
        <w:t>Los presentes Lineamientos entrarán en vigor, una vez que sean aprobados por el Consejo General del Instituto.</w:t>
      </w: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Calibri" w:hAnsi="Gothic720 BT" w:cs="Times New Roman"/>
        </w:rPr>
      </w:pPr>
      <w:r w:rsidRPr="00E26EF9">
        <w:rPr>
          <w:rFonts w:ascii="Gothic720 BT" w:eastAsia="Arial" w:hAnsi="Gothic720 BT" w:cs="Arial"/>
          <w:b/>
        </w:rPr>
        <w:t xml:space="preserve">Artículo tercero. </w:t>
      </w:r>
      <w:r w:rsidRPr="00E26EF9">
        <w:rPr>
          <w:rFonts w:ascii="Gothic720 BT" w:eastAsia="Calibri" w:hAnsi="Gothic720 BT" w:cs="Times New Roman"/>
        </w:rPr>
        <w:t>Publíquese en el Periódico Oficial de Gobierno del Estado de Querétaro “</w:t>
      </w:r>
      <w:r w:rsidRPr="00E26EF9">
        <w:rPr>
          <w:rFonts w:ascii="Gothic720 BT" w:eastAsia="Calibri" w:hAnsi="Gothic720 BT" w:cs="Times New Roman"/>
          <w:i/>
        </w:rPr>
        <w:t>La Sombra de Arteaga</w:t>
      </w:r>
      <w:r w:rsidRPr="00E26EF9">
        <w:rPr>
          <w:rFonts w:ascii="Gothic720 BT" w:eastAsia="Calibri" w:hAnsi="Gothic720 BT" w:cs="Times New Roman"/>
        </w:rPr>
        <w:t>”.</w:t>
      </w:r>
    </w:p>
    <w:p w:rsidR="005C0B78" w:rsidRPr="00E26EF9" w:rsidRDefault="005C0B78" w:rsidP="005C0B78">
      <w:pPr>
        <w:spacing w:after="0" w:line="240" w:lineRule="auto"/>
        <w:jc w:val="both"/>
        <w:rPr>
          <w:rFonts w:ascii="Gothic720 BT" w:eastAsia="Arial" w:hAnsi="Gothic720 BT" w:cs="Arial"/>
        </w:rPr>
      </w:pPr>
    </w:p>
    <w:p w:rsidR="005345E9" w:rsidRPr="00E26EF9" w:rsidRDefault="005345E9" w:rsidP="005C0B78">
      <w:pPr>
        <w:spacing w:after="0"/>
        <w:jc w:val="both"/>
        <w:rPr>
          <w:rFonts w:ascii="Gothic720 BT" w:eastAsia="Arial" w:hAnsi="Gothic720 BT" w:cs="Arial"/>
          <w:spacing w:val="-1"/>
        </w:rPr>
      </w:pPr>
    </w:p>
    <w:p w:rsidR="00F13238" w:rsidRPr="00E26EF9" w:rsidRDefault="00F13238" w:rsidP="002A15BA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b/>
        </w:rPr>
        <w:t>TRANSITORIOS</w:t>
      </w:r>
    </w:p>
    <w:p w:rsidR="005C0B78" w:rsidRPr="00E26EF9" w:rsidRDefault="005C0B78" w:rsidP="002A15BA">
      <w:pPr>
        <w:spacing w:after="0"/>
        <w:jc w:val="center"/>
        <w:rPr>
          <w:rFonts w:ascii="Gothic720 BT" w:eastAsia="Calibri" w:hAnsi="Gothic720 BT" w:cs="Times New Roman"/>
          <w:b/>
        </w:rPr>
      </w:pPr>
      <w:r w:rsidRPr="00E26EF9">
        <w:rPr>
          <w:rFonts w:ascii="Gothic720 BT" w:eastAsia="Calibri" w:hAnsi="Gothic720 BT" w:cs="Times New Roman"/>
          <w:vertAlign w:val="superscript"/>
        </w:rPr>
        <w:t>(Acuerdo IEEQ/CG/A/013/22</w:t>
      </w:r>
      <w:r w:rsidRPr="00E26EF9">
        <w:rPr>
          <w:rFonts w:ascii="Gothic720 BT" w:eastAsia="Calibri" w:hAnsi="Gothic720 BT" w:cs="Times New Roman"/>
          <w:vertAlign w:val="superscript"/>
        </w:rPr>
        <w:t xml:space="preserve"> de 30 de mayo de 2022</w:t>
      </w:r>
      <w:r w:rsidRPr="00E26EF9">
        <w:rPr>
          <w:rFonts w:ascii="Gothic720 BT" w:eastAsia="Calibri" w:hAnsi="Gothic720 BT" w:cs="Times New Roman"/>
          <w:vertAlign w:val="superscript"/>
        </w:rPr>
        <w:t>).</w:t>
      </w:r>
    </w:p>
    <w:p w:rsidR="00F13238" w:rsidRPr="00E26EF9" w:rsidRDefault="00F13238" w:rsidP="00E470E3">
      <w:pPr>
        <w:spacing w:after="0"/>
        <w:jc w:val="both"/>
        <w:rPr>
          <w:rFonts w:ascii="Gothic720 BT" w:eastAsia="Arial" w:hAnsi="Gothic720 BT" w:cs="Arial"/>
          <w:b/>
        </w:rPr>
      </w:pPr>
    </w:p>
    <w:p w:rsidR="005345E9" w:rsidRPr="00E26EF9" w:rsidRDefault="005345E9" w:rsidP="00E470E3">
      <w:pPr>
        <w:pStyle w:val="Sangra3detindependiente"/>
        <w:tabs>
          <w:tab w:val="clear" w:pos="993"/>
        </w:tabs>
        <w:ind w:left="0"/>
        <w:rPr>
          <w:rFonts w:eastAsia="Arial" w:cs="Arial"/>
        </w:rPr>
      </w:pPr>
      <w:r w:rsidRPr="00E26EF9">
        <w:rPr>
          <w:rFonts w:eastAsia="Arial" w:cs="Arial"/>
          <w:b/>
        </w:rPr>
        <w:t>PRIMERO</w:t>
      </w:r>
      <w:r w:rsidRPr="00E26EF9">
        <w:rPr>
          <w:rFonts w:eastAsia="Arial" w:cs="Arial"/>
        </w:rPr>
        <w:t xml:space="preserve">.  Se reforman y adicionan los artículos 3, 4, fracción I y III, 7, 8, 10 fracciones III y IV, 11 fracción VI, 12, 13, 17 Bis, 22, 23 y 25, respectivamente de los </w:t>
      </w:r>
      <w:bookmarkStart w:id="0" w:name="_GoBack"/>
      <w:r w:rsidRPr="00E26EF9">
        <w:rPr>
          <w:rFonts w:eastAsia="Arial" w:cs="Arial"/>
        </w:rPr>
        <w:t xml:space="preserve">Lineamientos para la utilización de las </w:t>
      </w:r>
      <w:r w:rsidR="00101A12" w:rsidRPr="00E26EF9">
        <w:rPr>
          <w:rFonts w:eastAsia="Arial" w:cs="Arial"/>
        </w:rPr>
        <w:t xml:space="preserve">tecnologías </w:t>
      </w:r>
      <w:r w:rsidRPr="00E26EF9">
        <w:rPr>
          <w:rFonts w:eastAsia="Arial" w:cs="Arial"/>
        </w:rPr>
        <w:t>de la información y comunicaciones del Instituto Electoral de Estado de Querétaro</w:t>
      </w:r>
      <w:bookmarkEnd w:id="0"/>
      <w:r w:rsidRPr="00E26EF9">
        <w:rPr>
          <w:rFonts w:eastAsia="Arial" w:cs="Arial"/>
        </w:rPr>
        <w:t>.</w:t>
      </w:r>
    </w:p>
    <w:p w:rsidR="005345E9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</w:p>
    <w:p w:rsidR="005345E9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  <w:r w:rsidRPr="00E26EF9">
        <w:rPr>
          <w:rFonts w:ascii="Gothic720 BT" w:eastAsia="Arial" w:hAnsi="Gothic720 BT" w:cs="Arial"/>
          <w:b/>
        </w:rPr>
        <w:t>SEGUNDO</w:t>
      </w:r>
      <w:r w:rsidRPr="00E26EF9">
        <w:rPr>
          <w:rFonts w:ascii="Gothic720 BT" w:eastAsia="Arial" w:hAnsi="Gothic720 BT" w:cs="Arial"/>
        </w:rPr>
        <w:t>. La Coordinación de Tecnologías de la Información e Innovación del Instituto deberá hacer del conocimiento del funcionariado del Instituto las medidas, criterios y directrices que deberán observarse para la protección y seguridad de la información.</w:t>
      </w:r>
    </w:p>
    <w:p w:rsidR="005345E9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</w:p>
    <w:p w:rsidR="005345E9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  <w:r w:rsidRPr="00E26EF9">
        <w:rPr>
          <w:rFonts w:ascii="Gothic720 BT" w:eastAsia="Arial" w:hAnsi="Gothic720 BT" w:cs="Arial"/>
          <w:b/>
        </w:rPr>
        <w:t>TERCERO</w:t>
      </w:r>
      <w:r w:rsidRPr="00E26EF9">
        <w:rPr>
          <w:rFonts w:ascii="Gothic720 BT" w:eastAsia="Arial" w:hAnsi="Gothic720 BT" w:cs="Arial"/>
        </w:rPr>
        <w:t>.  La reforma a los presentes Lineamientos entrará en vigor una vez que sea aprobada por el Consejo General del Instituto Electoral del Estado de Querétaro.</w:t>
      </w:r>
    </w:p>
    <w:p w:rsidR="005345E9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</w:p>
    <w:p w:rsidR="00F13238" w:rsidRPr="00E26EF9" w:rsidRDefault="005345E9" w:rsidP="00E470E3">
      <w:pPr>
        <w:spacing w:after="0"/>
        <w:jc w:val="both"/>
        <w:rPr>
          <w:rFonts w:ascii="Gothic720 BT" w:eastAsia="Arial" w:hAnsi="Gothic720 BT" w:cs="Arial"/>
        </w:rPr>
      </w:pPr>
      <w:r w:rsidRPr="00E26EF9">
        <w:rPr>
          <w:rFonts w:ascii="Gothic720 BT" w:eastAsia="Arial" w:hAnsi="Gothic720 BT" w:cs="Arial"/>
          <w:b/>
        </w:rPr>
        <w:t>CUARTO</w:t>
      </w:r>
      <w:r w:rsidRPr="00E26EF9">
        <w:rPr>
          <w:rFonts w:ascii="Gothic720 BT" w:eastAsia="Arial" w:hAnsi="Gothic720 BT" w:cs="Arial"/>
        </w:rPr>
        <w:t>.  Se ordena la publicación de la reforma a los presentes Lineamientos en el periódico oficial del Gobierno del Estado de Querétaro “La Sombra de Arteaga” y en el sitio de internet del Instituto.</w:t>
      </w:r>
    </w:p>
    <w:p w:rsidR="002C213E" w:rsidRPr="00E26EF9" w:rsidRDefault="002C213E" w:rsidP="00E470E3">
      <w:pPr>
        <w:spacing w:after="0"/>
        <w:jc w:val="both"/>
        <w:rPr>
          <w:rFonts w:ascii="Gothic720 BT" w:hAnsi="Gothic720 BT"/>
        </w:rPr>
      </w:pPr>
    </w:p>
    <w:sectPr w:rsidR="002C213E" w:rsidRPr="00E26EF9" w:rsidSect="00097DDE">
      <w:footerReference w:type="default" r:id="rId7"/>
      <w:pgSz w:w="12240" w:h="15840"/>
      <w:pgMar w:top="1276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C7" w:rsidRDefault="00D158C7" w:rsidP="00097DDE">
      <w:pPr>
        <w:spacing w:after="0" w:line="240" w:lineRule="auto"/>
      </w:pPr>
      <w:r>
        <w:separator/>
      </w:r>
    </w:p>
  </w:endnote>
  <w:endnote w:type="continuationSeparator" w:id="0">
    <w:p w:rsidR="00D158C7" w:rsidRDefault="00D158C7" w:rsidP="000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89705"/>
      <w:docPartObj>
        <w:docPartGallery w:val="Page Numbers (Bottom of Page)"/>
        <w:docPartUnique/>
      </w:docPartObj>
    </w:sdtPr>
    <w:sdtContent>
      <w:p w:rsidR="00097DDE" w:rsidRDefault="00097DDE" w:rsidP="00097D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12" w:rsidRPr="00101A12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C7" w:rsidRDefault="00D158C7" w:rsidP="00097DDE">
      <w:pPr>
        <w:spacing w:after="0" w:line="240" w:lineRule="auto"/>
      </w:pPr>
      <w:r>
        <w:separator/>
      </w:r>
    </w:p>
  </w:footnote>
  <w:footnote w:type="continuationSeparator" w:id="0">
    <w:p w:rsidR="00D158C7" w:rsidRDefault="00D158C7" w:rsidP="0009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46B"/>
    <w:multiLevelType w:val="hybridMultilevel"/>
    <w:tmpl w:val="6F4C488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7B0"/>
    <w:multiLevelType w:val="hybridMultilevel"/>
    <w:tmpl w:val="EBEAFD6A"/>
    <w:lvl w:ilvl="0" w:tplc="69AEB930">
      <w:start w:val="1"/>
      <w:numFmt w:val="lowerLetter"/>
      <w:lvlText w:val="%1)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0E21F1"/>
    <w:multiLevelType w:val="hybridMultilevel"/>
    <w:tmpl w:val="790C3528"/>
    <w:lvl w:ilvl="0" w:tplc="EB085084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12DB0"/>
    <w:multiLevelType w:val="hybridMultilevel"/>
    <w:tmpl w:val="07C433B2"/>
    <w:lvl w:ilvl="0" w:tplc="24B6A4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093AD6"/>
    <w:multiLevelType w:val="hybridMultilevel"/>
    <w:tmpl w:val="020C0402"/>
    <w:lvl w:ilvl="0" w:tplc="79D2CC6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50CC"/>
    <w:multiLevelType w:val="hybridMultilevel"/>
    <w:tmpl w:val="6FE6455C"/>
    <w:lvl w:ilvl="0" w:tplc="EC88C4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026DB"/>
    <w:multiLevelType w:val="hybridMultilevel"/>
    <w:tmpl w:val="8F9E12C0"/>
    <w:lvl w:ilvl="0" w:tplc="6C2443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C20BB"/>
    <w:multiLevelType w:val="hybridMultilevel"/>
    <w:tmpl w:val="C0B43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6AFC"/>
    <w:multiLevelType w:val="hybridMultilevel"/>
    <w:tmpl w:val="3BBAA5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CED"/>
    <w:multiLevelType w:val="hybridMultilevel"/>
    <w:tmpl w:val="3BBAA5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2FDF"/>
    <w:multiLevelType w:val="hybridMultilevel"/>
    <w:tmpl w:val="60702438"/>
    <w:lvl w:ilvl="0" w:tplc="8B18BF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8E0AB7"/>
    <w:multiLevelType w:val="hybridMultilevel"/>
    <w:tmpl w:val="07083C20"/>
    <w:lvl w:ilvl="0" w:tplc="7C96FC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00711"/>
    <w:multiLevelType w:val="hybridMultilevel"/>
    <w:tmpl w:val="C44C3222"/>
    <w:lvl w:ilvl="0" w:tplc="DE3EA3B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F71D34"/>
    <w:multiLevelType w:val="hybridMultilevel"/>
    <w:tmpl w:val="08C48D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6696"/>
    <w:multiLevelType w:val="hybridMultilevel"/>
    <w:tmpl w:val="0FDA6A78"/>
    <w:lvl w:ilvl="0" w:tplc="28A6CB52">
      <w:start w:val="1"/>
      <w:numFmt w:val="upperRoman"/>
      <w:lvlText w:val="%1."/>
      <w:lvlJc w:val="left"/>
      <w:pPr>
        <w:ind w:left="143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E17F1"/>
    <w:multiLevelType w:val="hybridMultilevel"/>
    <w:tmpl w:val="DB62EF5A"/>
    <w:lvl w:ilvl="0" w:tplc="FF4A77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8"/>
    <w:rsid w:val="00012801"/>
    <w:rsid w:val="00033B08"/>
    <w:rsid w:val="0008669F"/>
    <w:rsid w:val="00097DDE"/>
    <w:rsid w:val="00101A12"/>
    <w:rsid w:val="001304A3"/>
    <w:rsid w:val="001511BD"/>
    <w:rsid w:val="0019171B"/>
    <w:rsid w:val="001A4771"/>
    <w:rsid w:val="001F3805"/>
    <w:rsid w:val="002A15BA"/>
    <w:rsid w:val="002C213E"/>
    <w:rsid w:val="00303AA9"/>
    <w:rsid w:val="00304587"/>
    <w:rsid w:val="00353860"/>
    <w:rsid w:val="0037369A"/>
    <w:rsid w:val="003864C8"/>
    <w:rsid w:val="003C4948"/>
    <w:rsid w:val="003F2AAA"/>
    <w:rsid w:val="0040044D"/>
    <w:rsid w:val="00485028"/>
    <w:rsid w:val="004D4B60"/>
    <w:rsid w:val="004D79F8"/>
    <w:rsid w:val="005345E9"/>
    <w:rsid w:val="00544C76"/>
    <w:rsid w:val="00562387"/>
    <w:rsid w:val="00595C24"/>
    <w:rsid w:val="005C0B78"/>
    <w:rsid w:val="005C44C1"/>
    <w:rsid w:val="006B6698"/>
    <w:rsid w:val="00745176"/>
    <w:rsid w:val="00777804"/>
    <w:rsid w:val="007E28D2"/>
    <w:rsid w:val="007E38D5"/>
    <w:rsid w:val="00812682"/>
    <w:rsid w:val="008258FC"/>
    <w:rsid w:val="00894821"/>
    <w:rsid w:val="009B7694"/>
    <w:rsid w:val="00A07D75"/>
    <w:rsid w:val="00A63347"/>
    <w:rsid w:val="00A87A17"/>
    <w:rsid w:val="00AE3166"/>
    <w:rsid w:val="00B10647"/>
    <w:rsid w:val="00B60411"/>
    <w:rsid w:val="00B81551"/>
    <w:rsid w:val="00BC210E"/>
    <w:rsid w:val="00BD6D03"/>
    <w:rsid w:val="00CF30C0"/>
    <w:rsid w:val="00D158C7"/>
    <w:rsid w:val="00D64DAC"/>
    <w:rsid w:val="00D8116C"/>
    <w:rsid w:val="00DE2AE3"/>
    <w:rsid w:val="00DE5384"/>
    <w:rsid w:val="00E20F3D"/>
    <w:rsid w:val="00E26EF9"/>
    <w:rsid w:val="00E37CC9"/>
    <w:rsid w:val="00E470E3"/>
    <w:rsid w:val="00E61DF7"/>
    <w:rsid w:val="00E70EA2"/>
    <w:rsid w:val="00E871F5"/>
    <w:rsid w:val="00F13238"/>
    <w:rsid w:val="00F307B7"/>
    <w:rsid w:val="00F47872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12C4"/>
  <w15:docId w15:val="{03B6FEA6-9D32-425A-9AD4-9167817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38"/>
  </w:style>
  <w:style w:type="paragraph" w:styleId="Ttulo1">
    <w:name w:val="heading 1"/>
    <w:basedOn w:val="Normal"/>
    <w:next w:val="Normal"/>
    <w:link w:val="Ttulo1Car"/>
    <w:uiPriority w:val="9"/>
    <w:qFormat/>
    <w:rsid w:val="005345E9"/>
    <w:pPr>
      <w:keepNext/>
      <w:spacing w:after="0"/>
      <w:ind w:left="567"/>
      <w:jc w:val="both"/>
      <w:outlineLvl w:val="0"/>
    </w:pPr>
    <w:rPr>
      <w:rFonts w:ascii="Gothic720 BT" w:eastAsia="Arial" w:hAnsi="Gothic720 BT" w:cs="Arial"/>
      <w:b/>
      <w:spacing w:val="-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3860"/>
    <w:pPr>
      <w:keepNext/>
      <w:spacing w:after="0"/>
      <w:ind w:left="567"/>
      <w:jc w:val="center"/>
      <w:outlineLvl w:val="1"/>
    </w:pPr>
    <w:rPr>
      <w:rFonts w:ascii="Gothic720 BT" w:eastAsia="Calibri" w:hAnsi="Gothic720 BT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77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3F2AAA"/>
    <w:pPr>
      <w:spacing w:after="0"/>
      <w:ind w:left="567"/>
      <w:jc w:val="both"/>
    </w:pPr>
    <w:rPr>
      <w:rFonts w:ascii="Gothic720 BT" w:eastAsia="Calibri" w:hAnsi="Gothic720 BT" w:cs="Times New Roman"/>
      <w:b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2AAA"/>
    <w:rPr>
      <w:rFonts w:ascii="Gothic720 BT" w:eastAsia="Calibri" w:hAnsi="Gothic720 BT" w:cs="Times New Roman"/>
      <w:b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D45FB"/>
    <w:pPr>
      <w:spacing w:after="0"/>
      <w:ind w:left="993" w:hanging="426"/>
      <w:jc w:val="both"/>
    </w:pPr>
    <w:rPr>
      <w:rFonts w:ascii="Gothic720 BT" w:eastAsia="Calibri" w:hAnsi="Gothic720 BT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D45FB"/>
    <w:rPr>
      <w:rFonts w:ascii="Gothic720 BT" w:eastAsia="Calibri" w:hAnsi="Gothic720 BT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E2AE3"/>
    <w:pPr>
      <w:tabs>
        <w:tab w:val="left" w:pos="993"/>
      </w:tabs>
      <w:spacing w:after="0"/>
      <w:ind w:left="567"/>
      <w:jc w:val="both"/>
    </w:pPr>
    <w:rPr>
      <w:rFonts w:ascii="Gothic720 BT" w:eastAsia="Calibri" w:hAnsi="Gothic720 BT"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E2AE3"/>
    <w:rPr>
      <w:rFonts w:ascii="Gothic720 BT" w:eastAsia="Calibri" w:hAnsi="Gothic720 BT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345E9"/>
    <w:rPr>
      <w:rFonts w:ascii="Gothic720 BT" w:eastAsia="Arial" w:hAnsi="Gothic720 BT" w:cs="Arial"/>
      <w:b/>
      <w:spacing w:val="-1"/>
    </w:rPr>
  </w:style>
  <w:style w:type="character" w:customStyle="1" w:styleId="Ttulo2Car">
    <w:name w:val="Título 2 Car"/>
    <w:basedOn w:val="Fuentedeprrafopredeter"/>
    <w:link w:val="Ttulo2"/>
    <w:uiPriority w:val="9"/>
    <w:rsid w:val="00353860"/>
    <w:rPr>
      <w:rFonts w:ascii="Gothic720 BT" w:eastAsia="Calibri" w:hAnsi="Gothic720 BT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DDE"/>
  </w:style>
  <w:style w:type="paragraph" w:styleId="Piedepgina">
    <w:name w:val="footer"/>
    <w:basedOn w:val="Normal"/>
    <w:link w:val="PiedepginaCar"/>
    <w:uiPriority w:val="99"/>
    <w:unhideWhenUsed/>
    <w:rsid w:val="0009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DE"/>
  </w:style>
  <w:style w:type="paragraph" w:styleId="Textoindependiente">
    <w:name w:val="Body Text"/>
    <w:basedOn w:val="Normal"/>
    <w:link w:val="TextoindependienteCar"/>
    <w:uiPriority w:val="99"/>
    <w:unhideWhenUsed/>
    <w:rsid w:val="007E38D5"/>
    <w:pPr>
      <w:tabs>
        <w:tab w:val="left" w:pos="426"/>
      </w:tabs>
      <w:spacing w:after="0"/>
      <w:jc w:val="both"/>
    </w:pPr>
    <w:rPr>
      <w:rFonts w:ascii="Gothic720 BT" w:eastAsia="Calibri" w:hAnsi="Gothic720 BT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8D5"/>
    <w:rPr>
      <w:rFonts w:ascii="Gothic720 BT" w:eastAsia="Calibri" w:hAnsi="Gothic720 B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2122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IEEQ</dc:creator>
  <cp:lastModifiedBy>Luis Carlos Pedraza Guevara</cp:lastModifiedBy>
  <cp:revision>24</cp:revision>
  <cp:lastPrinted>2022-05-31T19:14:00Z</cp:lastPrinted>
  <dcterms:created xsi:type="dcterms:W3CDTF">2022-05-31T14:35:00Z</dcterms:created>
  <dcterms:modified xsi:type="dcterms:W3CDTF">2022-05-31T19:19:00Z</dcterms:modified>
</cp:coreProperties>
</file>