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2E" w:rsidRPr="00195E18" w:rsidRDefault="00E1172E" w:rsidP="00E1172E">
      <w:pPr>
        <w:tabs>
          <w:tab w:val="left" w:pos="9072"/>
        </w:tabs>
        <w:spacing w:after="0"/>
        <w:ind w:left="4678" w:right="-36"/>
        <w:jc w:val="both"/>
        <w:rPr>
          <w:rFonts w:ascii="Gothic720 BT" w:eastAsia="Times New Roman" w:hAnsi="Gothic720 BT"/>
          <w:lang w:eastAsia="es-ES"/>
        </w:rPr>
      </w:pPr>
      <w:r w:rsidRPr="00195E18">
        <w:rPr>
          <w:rFonts w:ascii="Gothic720 BT" w:eastAsia="Times New Roman" w:hAnsi="Gothic720 BT"/>
          <w:b/>
          <w:lang w:eastAsia="es-ES"/>
        </w:rPr>
        <w:t xml:space="preserve">EXPEDIENTE: </w:t>
      </w:r>
      <w:r>
        <w:rPr>
          <w:rFonts w:ascii="Gothic720 BT" w:eastAsia="Times New Roman" w:hAnsi="Gothic720 BT"/>
          <w:lang w:eastAsia="es-ES"/>
        </w:rPr>
        <w:t>014/1999</w:t>
      </w:r>
      <w:r w:rsidRPr="00195E18">
        <w:rPr>
          <w:rFonts w:ascii="Gothic720 BT" w:eastAsia="Times New Roman" w:hAnsi="Gothic720 BT"/>
          <w:lang w:eastAsia="es-ES"/>
        </w:rPr>
        <w:t>.</w:t>
      </w:r>
    </w:p>
    <w:p w:rsidR="00E1172E" w:rsidRPr="00195E18" w:rsidRDefault="00E1172E" w:rsidP="00E1172E">
      <w:pPr>
        <w:tabs>
          <w:tab w:val="left" w:pos="9072"/>
        </w:tabs>
        <w:spacing w:after="0"/>
        <w:ind w:left="4678" w:right="-36"/>
        <w:jc w:val="both"/>
        <w:rPr>
          <w:rFonts w:ascii="Gothic720 BT" w:eastAsia="Times New Roman" w:hAnsi="Gothic720 BT"/>
          <w:b/>
          <w:sz w:val="18"/>
          <w:lang w:eastAsia="es-ES"/>
        </w:rPr>
      </w:pPr>
    </w:p>
    <w:p w:rsidR="00E1172E" w:rsidRPr="00195E18" w:rsidRDefault="00E1172E" w:rsidP="00E1172E">
      <w:pPr>
        <w:tabs>
          <w:tab w:val="left" w:pos="9072"/>
        </w:tabs>
        <w:spacing w:after="0"/>
        <w:ind w:left="4678" w:right="-36"/>
        <w:jc w:val="both"/>
        <w:rPr>
          <w:rFonts w:ascii="Gothic720 BT" w:eastAsia="Times New Roman" w:hAnsi="Gothic720 BT"/>
          <w:lang w:eastAsia="es-ES"/>
        </w:rPr>
      </w:pPr>
      <w:r w:rsidRPr="00195E18">
        <w:rPr>
          <w:rFonts w:ascii="Gothic720 BT" w:eastAsia="Times New Roman" w:hAnsi="Gothic720 BT"/>
          <w:b/>
          <w:lang w:eastAsia="es-ES"/>
        </w:rPr>
        <w:t xml:space="preserve">PROMOVENTE: </w:t>
      </w:r>
      <w:r>
        <w:rPr>
          <w:rFonts w:ascii="Gothic720 BT" w:eastAsia="Times New Roman" w:hAnsi="Gothic720 BT"/>
          <w:lang w:eastAsia="es-ES"/>
        </w:rPr>
        <w:t>PARTIDO ACCIÓN NACIONAL</w:t>
      </w:r>
      <w:r w:rsidRPr="00195E18">
        <w:rPr>
          <w:rFonts w:ascii="Gothic720 BT" w:eastAsia="Times New Roman" w:hAnsi="Gothic720 BT"/>
          <w:lang w:eastAsia="es-ES"/>
        </w:rPr>
        <w:t xml:space="preserve">. </w:t>
      </w:r>
    </w:p>
    <w:p w:rsidR="00E1172E" w:rsidRPr="00195E18" w:rsidRDefault="00E1172E" w:rsidP="00E1172E">
      <w:pPr>
        <w:tabs>
          <w:tab w:val="left" w:pos="5409"/>
        </w:tabs>
        <w:spacing w:after="0"/>
        <w:ind w:left="4678" w:right="-36"/>
        <w:jc w:val="both"/>
        <w:rPr>
          <w:rFonts w:ascii="Gothic720 BT" w:hAnsi="Gothic720 BT"/>
          <w:b/>
          <w:sz w:val="18"/>
        </w:rPr>
      </w:pPr>
      <w:r w:rsidRPr="00195E18">
        <w:rPr>
          <w:rFonts w:ascii="Gothic720 BT" w:hAnsi="Gothic720 BT"/>
          <w:b/>
        </w:rPr>
        <w:tab/>
      </w:r>
    </w:p>
    <w:p w:rsidR="00E1172E" w:rsidRPr="00AA2AEF" w:rsidRDefault="00E1172E" w:rsidP="00E1172E">
      <w:pPr>
        <w:tabs>
          <w:tab w:val="left" w:pos="9072"/>
        </w:tabs>
        <w:spacing w:after="0"/>
        <w:ind w:left="4678" w:right="-36"/>
        <w:jc w:val="both"/>
        <w:rPr>
          <w:rFonts w:ascii="Gothic720 BT" w:hAnsi="Gothic720 BT"/>
        </w:rPr>
      </w:pPr>
      <w:r w:rsidRPr="00195E18">
        <w:rPr>
          <w:rFonts w:ascii="Gothic720 BT" w:hAnsi="Gothic720 BT"/>
          <w:b/>
        </w:rPr>
        <w:t>ASUNTO:</w:t>
      </w:r>
      <w:r>
        <w:rPr>
          <w:rFonts w:ascii="Gothic720 BT" w:hAnsi="Gothic720 BT"/>
        </w:rPr>
        <w:t xml:space="preserve"> RECEPCIÓN, CUENTAS BANCARIAS Y REMISIÓN.</w:t>
      </w:r>
    </w:p>
    <w:p w:rsidR="00E1172E" w:rsidRDefault="00E1172E" w:rsidP="00E1172E">
      <w:pPr>
        <w:spacing w:after="0"/>
        <w:jc w:val="both"/>
        <w:rPr>
          <w:rFonts w:ascii="Gothic720 BT" w:hAnsi="Gothic720 BT" w:cs="Arial"/>
        </w:rPr>
      </w:pPr>
    </w:p>
    <w:p w:rsidR="00E1172E" w:rsidRPr="00542F34" w:rsidRDefault="00E1172E" w:rsidP="00E1172E">
      <w:pPr>
        <w:jc w:val="both"/>
        <w:rPr>
          <w:rFonts w:ascii="Gothic720 BT" w:hAnsi="Gothic720 BT" w:cs="Arial"/>
          <w:caps/>
        </w:rPr>
      </w:pPr>
      <w:r w:rsidRPr="00E40FB3">
        <w:rPr>
          <w:rFonts w:ascii="Gothic720 BT" w:hAnsi="Gothic720 BT" w:cs="Arial"/>
        </w:rPr>
        <w:t xml:space="preserve">En Santiago de Querétaro, Querétaro, </w:t>
      </w:r>
      <w:r>
        <w:rPr>
          <w:rFonts w:ascii="Gothic720 BT" w:hAnsi="Gothic720 BT"/>
          <w:lang w:eastAsia="es-ES"/>
        </w:rPr>
        <w:t>veintiuno de enero de dos mil veintiuno</w:t>
      </w:r>
      <w:r w:rsidRPr="00E40FB3">
        <w:rPr>
          <w:rFonts w:ascii="Gothic720 BT" w:hAnsi="Gothic720 BT" w:cs="Arial"/>
        </w:rPr>
        <w:t xml:space="preserve">, en cumplimiento a lo ordenado en el proveído dictado el día en que se actúa, en el expediente al rubro indicado, con fundamento en lo dispuesto por los artículos 50, fracción II, 52 y 56, fracción II de la Ley de Medios de Impugnación en Materia Electoral del Estado de Querétaro; se </w:t>
      </w:r>
      <w:r w:rsidRPr="00E40FB3">
        <w:rPr>
          <w:rFonts w:ascii="Gothic720 BT" w:hAnsi="Gothic720 BT" w:cs="Arial"/>
          <w:b/>
        </w:rPr>
        <w:t>NOTIFICA</w:t>
      </w:r>
      <w:r w:rsidRPr="00E40FB3">
        <w:rPr>
          <w:rFonts w:ascii="Gothic720 BT" w:hAnsi="Gothic720 BT" w:cs="Arial"/>
        </w:rPr>
        <w:t xml:space="preserve"> el contenido del proveído de mérito, mediante cédula que se fija en los </w:t>
      </w:r>
      <w:r w:rsidRPr="00E40FB3">
        <w:rPr>
          <w:rFonts w:ascii="Gothic720 BT" w:hAnsi="Gothic720 BT" w:cs="Arial"/>
          <w:b/>
        </w:rPr>
        <w:t>ESTRADOS</w:t>
      </w:r>
      <w:r w:rsidRPr="00E40FB3">
        <w:rPr>
          <w:rFonts w:ascii="Gothic720 BT" w:hAnsi="Gothic720 BT" w:cs="Arial"/>
        </w:rPr>
        <w:t xml:space="preserve"> de este Consejo General, anexando copia del mismo, documentos que constan en un total de </w:t>
      </w:r>
      <w:r>
        <w:rPr>
          <w:rFonts w:ascii="Gothic720 BT" w:hAnsi="Gothic720 BT" w:cs="Arial"/>
        </w:rPr>
        <w:t>una</w:t>
      </w:r>
      <w:r w:rsidRPr="00E40FB3">
        <w:rPr>
          <w:rFonts w:ascii="Gothic720 BT" w:hAnsi="Gothic720 BT" w:cs="Arial"/>
        </w:rPr>
        <w:t xml:space="preserve"> foja</w:t>
      </w:r>
      <w:r>
        <w:rPr>
          <w:rFonts w:ascii="Gothic720 BT" w:hAnsi="Gothic720 BT" w:cs="Arial"/>
        </w:rPr>
        <w:t xml:space="preserve"> útil</w:t>
      </w:r>
      <w:r w:rsidRPr="00E40FB3">
        <w:rPr>
          <w:rFonts w:ascii="Gothic720 BT" w:hAnsi="Gothic720 BT" w:cs="Arial"/>
        </w:rPr>
        <w:t xml:space="preserve"> con texto por </w:t>
      </w:r>
      <w:r>
        <w:rPr>
          <w:rFonts w:ascii="Gothic720 BT" w:hAnsi="Gothic720 BT" w:cs="Arial"/>
        </w:rPr>
        <w:t xml:space="preserve">ambos </w:t>
      </w:r>
      <w:r w:rsidRPr="00E40FB3">
        <w:rPr>
          <w:rFonts w:ascii="Gothic720 BT" w:hAnsi="Gothic720 BT" w:cs="Arial"/>
        </w:rPr>
        <w:t>lado</w:t>
      </w:r>
      <w:r>
        <w:rPr>
          <w:rFonts w:ascii="Gothic720 BT" w:hAnsi="Gothic720 BT" w:cs="Arial"/>
        </w:rPr>
        <w:t>s</w:t>
      </w:r>
      <w:r w:rsidRPr="00E40FB3">
        <w:rPr>
          <w:rFonts w:ascii="Gothic720 BT" w:hAnsi="Gothic720 BT" w:cs="Arial"/>
        </w:rPr>
        <w:t xml:space="preserve">. </w:t>
      </w:r>
      <w:r w:rsidRPr="00E40FB3">
        <w:rPr>
          <w:rFonts w:ascii="Gothic720 BT" w:hAnsi="Gothic720 BT" w:cs="Arial"/>
          <w:b/>
          <w:caps/>
        </w:rPr>
        <w:t>Doy fe</w:t>
      </w:r>
      <w:r w:rsidRPr="00E40FB3">
        <w:rPr>
          <w:rFonts w:ascii="Gothic720 BT" w:hAnsi="Gothic720 BT" w:cs="Arial"/>
          <w:caps/>
        </w:rPr>
        <w:t>. -------------------</w:t>
      </w:r>
      <w:r>
        <w:rPr>
          <w:rFonts w:ascii="Gothic720 BT" w:hAnsi="Gothic720 BT" w:cs="Arial"/>
          <w:caps/>
        </w:rPr>
        <w:t>-------------------------------------------------------------</w:t>
      </w:r>
    </w:p>
    <w:p w:rsidR="00E1172E" w:rsidRPr="00E40FB3" w:rsidRDefault="00E1172E" w:rsidP="00E1172E">
      <w:pPr>
        <w:spacing w:after="0"/>
        <w:jc w:val="center"/>
        <w:rPr>
          <w:rFonts w:ascii="Gothic720 BT" w:hAnsi="Gothic720 BT" w:cs="Arial"/>
          <w:b/>
          <w:lang w:eastAsia="es-ES"/>
        </w:rPr>
      </w:pPr>
    </w:p>
    <w:p w:rsidR="00E1172E" w:rsidRPr="00E40FB3" w:rsidRDefault="00E1172E" w:rsidP="00E1172E">
      <w:pPr>
        <w:spacing w:after="0"/>
        <w:jc w:val="center"/>
        <w:rPr>
          <w:rFonts w:ascii="Gothic720 BT" w:hAnsi="Gothic720 BT" w:cs="Arial"/>
          <w:b/>
          <w:lang w:eastAsia="es-ES"/>
        </w:rPr>
      </w:pPr>
    </w:p>
    <w:p w:rsidR="00E1172E" w:rsidRPr="00E40FB3" w:rsidRDefault="00E1172E" w:rsidP="00E1172E">
      <w:pPr>
        <w:spacing w:after="0"/>
        <w:jc w:val="both"/>
        <w:rPr>
          <w:rFonts w:ascii="Gothic720 BT" w:hAnsi="Gothic720 BT"/>
          <w:b/>
        </w:rPr>
      </w:pPr>
    </w:p>
    <w:p w:rsidR="00E1172E" w:rsidRPr="00195E18" w:rsidRDefault="00E1172E" w:rsidP="00E1172E">
      <w:pPr>
        <w:spacing w:after="0"/>
        <w:jc w:val="both"/>
        <w:rPr>
          <w:rFonts w:ascii="Gothic720 BT" w:hAnsi="Gothic720 BT"/>
          <w:b/>
        </w:rPr>
      </w:pPr>
    </w:p>
    <w:p w:rsidR="00E1172E" w:rsidRDefault="00E1172E" w:rsidP="00E1172E">
      <w:pPr>
        <w:spacing w:after="0"/>
        <w:jc w:val="center"/>
        <w:rPr>
          <w:rFonts w:ascii="Gothic720 BT" w:hAnsi="Gothic720 BT"/>
          <w:b/>
        </w:rPr>
      </w:pPr>
      <w:r>
        <w:rPr>
          <w:rFonts w:ascii="Gothic720 BT" w:hAnsi="Gothic720 BT"/>
          <w:b/>
        </w:rPr>
        <w:t>Mtro. Carlos Alejandro Pérez Espíndola</w:t>
      </w:r>
    </w:p>
    <w:p w:rsidR="00E1172E" w:rsidRPr="00195E18" w:rsidRDefault="00E1172E" w:rsidP="00E1172E">
      <w:pPr>
        <w:spacing w:after="0"/>
        <w:jc w:val="center"/>
        <w:rPr>
          <w:rFonts w:ascii="Gothic720 BT" w:hAnsi="Gothic720 BT"/>
          <w:b/>
        </w:rPr>
      </w:pPr>
      <w:r>
        <w:rPr>
          <w:rFonts w:ascii="Gothic720 BT" w:hAnsi="Gothic720 BT"/>
        </w:rPr>
        <w:t>Secretario Ejecutivo</w:t>
      </w:r>
      <w:r>
        <w:rPr>
          <w:rFonts w:ascii="Gothic720 BT" w:hAnsi="Gothic720 BT"/>
          <w:b/>
        </w:rPr>
        <w:t xml:space="preserve"> </w:t>
      </w:r>
    </w:p>
    <w:p w:rsidR="00E1172E" w:rsidRPr="00195E18" w:rsidRDefault="00E1172E" w:rsidP="00E1172E">
      <w:pPr>
        <w:tabs>
          <w:tab w:val="left" w:pos="851"/>
        </w:tabs>
        <w:spacing w:after="0"/>
        <w:jc w:val="center"/>
        <w:rPr>
          <w:rFonts w:ascii="Gothic720 BT" w:hAnsi="Gothic720 BT"/>
          <w:b/>
        </w:rPr>
      </w:pPr>
    </w:p>
    <w:p w:rsidR="00E1172E" w:rsidRPr="00195E18" w:rsidRDefault="00E1172E" w:rsidP="00E1172E">
      <w:pPr>
        <w:tabs>
          <w:tab w:val="left" w:pos="851"/>
        </w:tabs>
        <w:spacing w:after="0"/>
        <w:jc w:val="both"/>
        <w:rPr>
          <w:rFonts w:ascii="Gothic720 BT" w:hAnsi="Gothic720 BT"/>
          <w:b/>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E1172E" w:rsidRDefault="00E1172E" w:rsidP="00BC1140">
      <w:pPr>
        <w:tabs>
          <w:tab w:val="left" w:pos="4663"/>
          <w:tab w:val="left" w:pos="9072"/>
        </w:tabs>
        <w:spacing w:after="0"/>
        <w:ind w:left="4678" w:right="-36"/>
        <w:jc w:val="both"/>
        <w:rPr>
          <w:rFonts w:ascii="Gothic720 BT" w:eastAsia="Times New Roman" w:hAnsi="Gothic720 BT"/>
          <w:b/>
          <w:lang w:eastAsia="es-ES"/>
        </w:rPr>
      </w:pPr>
    </w:p>
    <w:p w:rsidR="00C73018" w:rsidRPr="00195E18" w:rsidRDefault="00C73018" w:rsidP="00BC1140">
      <w:pPr>
        <w:tabs>
          <w:tab w:val="left" w:pos="4663"/>
          <w:tab w:val="left" w:pos="9072"/>
        </w:tabs>
        <w:spacing w:after="0"/>
        <w:ind w:left="4678" w:right="-36"/>
        <w:jc w:val="both"/>
        <w:rPr>
          <w:rFonts w:ascii="Gothic720 BT" w:eastAsia="Times New Roman" w:hAnsi="Gothic720 BT"/>
          <w:lang w:eastAsia="es-ES"/>
        </w:rPr>
      </w:pPr>
      <w:r w:rsidRPr="00195E18">
        <w:rPr>
          <w:rFonts w:ascii="Gothic720 BT" w:eastAsia="Times New Roman" w:hAnsi="Gothic720 BT"/>
          <w:b/>
          <w:lang w:eastAsia="es-ES"/>
        </w:rPr>
        <w:lastRenderedPageBreak/>
        <w:t xml:space="preserve">EXPEDIENTE: </w:t>
      </w:r>
      <w:r w:rsidR="00F21600">
        <w:rPr>
          <w:rFonts w:ascii="Gothic720 BT" w:eastAsia="Times New Roman" w:hAnsi="Gothic720 BT"/>
          <w:lang w:eastAsia="es-ES"/>
        </w:rPr>
        <w:t>014/1999</w:t>
      </w:r>
      <w:r w:rsidRPr="00195E18">
        <w:rPr>
          <w:rFonts w:ascii="Gothic720 BT" w:eastAsia="Times New Roman" w:hAnsi="Gothic720 BT"/>
          <w:lang w:eastAsia="es-ES"/>
        </w:rPr>
        <w:t>.</w:t>
      </w:r>
    </w:p>
    <w:p w:rsidR="00C73018" w:rsidRPr="00195E18" w:rsidRDefault="00C73018" w:rsidP="00BC1140">
      <w:pPr>
        <w:tabs>
          <w:tab w:val="left" w:pos="4663"/>
          <w:tab w:val="left" w:pos="9072"/>
        </w:tabs>
        <w:spacing w:after="0"/>
        <w:ind w:left="4678" w:right="-36"/>
        <w:jc w:val="both"/>
        <w:rPr>
          <w:rFonts w:ascii="Gothic720 BT" w:eastAsia="Times New Roman" w:hAnsi="Gothic720 BT"/>
          <w:b/>
          <w:sz w:val="18"/>
          <w:lang w:eastAsia="es-ES"/>
        </w:rPr>
      </w:pPr>
    </w:p>
    <w:p w:rsidR="00C73018" w:rsidRPr="00195E18" w:rsidRDefault="00C73018" w:rsidP="00BC1140">
      <w:pPr>
        <w:tabs>
          <w:tab w:val="left" w:pos="4663"/>
          <w:tab w:val="left" w:pos="9072"/>
        </w:tabs>
        <w:spacing w:after="0"/>
        <w:ind w:left="4678" w:right="-36"/>
        <w:jc w:val="both"/>
        <w:rPr>
          <w:rFonts w:ascii="Gothic720 BT" w:eastAsia="Times New Roman" w:hAnsi="Gothic720 BT"/>
          <w:lang w:eastAsia="es-ES"/>
        </w:rPr>
      </w:pPr>
      <w:r w:rsidRPr="00195E18">
        <w:rPr>
          <w:rFonts w:ascii="Gothic720 BT" w:eastAsia="Times New Roman" w:hAnsi="Gothic720 BT"/>
          <w:b/>
          <w:lang w:eastAsia="es-ES"/>
        </w:rPr>
        <w:t xml:space="preserve">PROMOVENTE: </w:t>
      </w:r>
      <w:r w:rsidR="00F21600">
        <w:rPr>
          <w:rFonts w:ascii="Gothic720 BT" w:eastAsia="Times New Roman" w:hAnsi="Gothic720 BT"/>
          <w:lang w:eastAsia="es-ES"/>
        </w:rPr>
        <w:t>PARTIDO ACCIÓN NACIONAL</w:t>
      </w:r>
      <w:r w:rsidRPr="00195E18">
        <w:rPr>
          <w:rFonts w:ascii="Gothic720 BT" w:eastAsia="Times New Roman" w:hAnsi="Gothic720 BT"/>
          <w:lang w:eastAsia="es-ES"/>
        </w:rPr>
        <w:t xml:space="preserve">. </w:t>
      </w:r>
    </w:p>
    <w:p w:rsidR="00C73018" w:rsidRPr="00195E18" w:rsidRDefault="00C73018" w:rsidP="00BC1140">
      <w:pPr>
        <w:tabs>
          <w:tab w:val="left" w:pos="5409"/>
        </w:tabs>
        <w:spacing w:after="0"/>
        <w:ind w:left="4678" w:right="-36"/>
        <w:jc w:val="both"/>
        <w:rPr>
          <w:rFonts w:ascii="Gothic720 BT" w:hAnsi="Gothic720 BT"/>
          <w:b/>
          <w:sz w:val="18"/>
        </w:rPr>
      </w:pPr>
      <w:r w:rsidRPr="00195E18">
        <w:rPr>
          <w:rFonts w:ascii="Gothic720 BT" w:hAnsi="Gothic720 BT"/>
          <w:b/>
        </w:rPr>
        <w:tab/>
      </w:r>
    </w:p>
    <w:p w:rsidR="00C73018" w:rsidRPr="00AA2AEF" w:rsidRDefault="00C73018" w:rsidP="00BC1140">
      <w:pPr>
        <w:tabs>
          <w:tab w:val="left" w:pos="4663"/>
          <w:tab w:val="left" w:pos="9072"/>
        </w:tabs>
        <w:spacing w:after="0"/>
        <w:ind w:left="4678" w:right="-36"/>
        <w:jc w:val="both"/>
        <w:rPr>
          <w:rFonts w:ascii="Gothic720 BT" w:hAnsi="Gothic720 BT"/>
        </w:rPr>
      </w:pPr>
      <w:r w:rsidRPr="00195E18">
        <w:rPr>
          <w:rFonts w:ascii="Gothic720 BT" w:hAnsi="Gothic720 BT"/>
          <w:b/>
        </w:rPr>
        <w:t>ASUNTO:</w:t>
      </w:r>
      <w:r>
        <w:rPr>
          <w:rFonts w:ascii="Gothic720 BT" w:hAnsi="Gothic720 BT"/>
        </w:rPr>
        <w:t xml:space="preserve"> RECEPCIÓN, CUENTAS BANCARIAS Y REMISIÓN.</w:t>
      </w:r>
    </w:p>
    <w:p w:rsidR="00C73018" w:rsidRPr="00195E18" w:rsidRDefault="00C73018" w:rsidP="00C73018">
      <w:pPr>
        <w:tabs>
          <w:tab w:val="left" w:pos="567"/>
          <w:tab w:val="left" w:pos="7797"/>
          <w:tab w:val="left" w:pos="9356"/>
        </w:tabs>
        <w:spacing w:after="0"/>
        <w:rPr>
          <w:rFonts w:ascii="Gothic720 BT" w:hAnsi="Gothic720 BT"/>
          <w:sz w:val="16"/>
        </w:rPr>
      </w:pPr>
    </w:p>
    <w:p w:rsidR="00C73018" w:rsidRPr="00195E18" w:rsidRDefault="00C73018" w:rsidP="00C73018">
      <w:pPr>
        <w:tabs>
          <w:tab w:val="left" w:pos="567"/>
          <w:tab w:val="left" w:pos="7797"/>
          <w:tab w:val="left" w:pos="9356"/>
        </w:tabs>
        <w:spacing w:after="0"/>
        <w:rPr>
          <w:rFonts w:ascii="Gothic720 BT" w:hAnsi="Gothic720 BT"/>
          <w:lang w:eastAsia="es-ES"/>
        </w:rPr>
      </w:pPr>
      <w:r w:rsidRPr="00195E18">
        <w:rPr>
          <w:rFonts w:ascii="Gothic720 BT" w:hAnsi="Gothic720 BT"/>
          <w:lang w:eastAsia="es-ES"/>
        </w:rPr>
        <w:t>Santiago de Querétaro, Querétaro,</w:t>
      </w:r>
      <w:r>
        <w:rPr>
          <w:rFonts w:ascii="Gothic720 BT" w:hAnsi="Gothic720 BT"/>
          <w:lang w:eastAsia="es-ES"/>
        </w:rPr>
        <w:t xml:space="preserve"> </w:t>
      </w:r>
      <w:r w:rsidR="00F21600">
        <w:rPr>
          <w:rFonts w:ascii="Gothic720 BT" w:hAnsi="Gothic720 BT"/>
          <w:lang w:eastAsia="es-ES"/>
        </w:rPr>
        <w:t>veintiuno de enero de dos mil veintiuno</w:t>
      </w:r>
      <w:r w:rsidRPr="00195E18">
        <w:rPr>
          <w:rFonts w:ascii="Gothic720 BT" w:hAnsi="Gothic720 BT"/>
          <w:lang w:eastAsia="es-ES"/>
        </w:rPr>
        <w:t>.</w:t>
      </w:r>
    </w:p>
    <w:p w:rsidR="00C73018" w:rsidRPr="00894931" w:rsidRDefault="00C73018" w:rsidP="00C73018">
      <w:pPr>
        <w:tabs>
          <w:tab w:val="left" w:pos="567"/>
        </w:tabs>
        <w:spacing w:after="0"/>
        <w:ind w:left="567"/>
        <w:jc w:val="both"/>
        <w:rPr>
          <w:rFonts w:ascii="Gothic720 BT" w:hAnsi="Gothic720 BT"/>
          <w:b/>
          <w:sz w:val="16"/>
        </w:rPr>
      </w:pPr>
    </w:p>
    <w:p w:rsidR="00240017" w:rsidRDefault="00C73018" w:rsidP="00240017">
      <w:pPr>
        <w:tabs>
          <w:tab w:val="left" w:pos="567"/>
        </w:tabs>
        <w:spacing w:after="0"/>
        <w:jc w:val="both"/>
        <w:rPr>
          <w:rFonts w:ascii="Gothic720 BT" w:hAnsi="Gothic720 BT"/>
        </w:rPr>
      </w:pPr>
      <w:r w:rsidRPr="00195E18">
        <w:rPr>
          <w:rFonts w:ascii="Gothic720 BT" w:hAnsi="Gothic720 BT"/>
          <w:b/>
        </w:rPr>
        <w:t>VISTO</w:t>
      </w:r>
      <w:r>
        <w:rPr>
          <w:rFonts w:ascii="Gothic720 BT" w:hAnsi="Gothic720 BT"/>
        </w:rPr>
        <w:t xml:space="preserve"> </w:t>
      </w:r>
      <w:r w:rsidR="00240017">
        <w:rPr>
          <w:rFonts w:ascii="Gothic720 BT" w:hAnsi="Gothic720 BT"/>
        </w:rPr>
        <w:t xml:space="preserve">1. El </w:t>
      </w:r>
      <w:r w:rsidR="008D7333">
        <w:rPr>
          <w:rFonts w:ascii="Gothic720 BT" w:hAnsi="Gothic720 BT"/>
        </w:rPr>
        <w:t>oficio</w:t>
      </w:r>
      <w:r w:rsidR="00240017">
        <w:rPr>
          <w:rFonts w:ascii="Gothic720 BT" w:hAnsi="Gothic720 BT"/>
        </w:rPr>
        <w:t xml:space="preserve"> recibido en la Oficialía de Partes de este Instituto el </w:t>
      </w:r>
      <w:r w:rsidR="00F21600">
        <w:rPr>
          <w:rFonts w:ascii="Gothic720 BT" w:hAnsi="Gothic720 BT"/>
        </w:rPr>
        <w:t>seis de enero</w:t>
      </w:r>
      <w:r w:rsidR="00240017">
        <w:rPr>
          <w:rFonts w:ascii="Gothic720 BT" w:hAnsi="Gothic720 BT"/>
        </w:rPr>
        <w:t xml:space="preserve"> del año en curso, registrado con el folio </w:t>
      </w:r>
      <w:r w:rsidR="00F21600">
        <w:rPr>
          <w:rFonts w:ascii="Gothic720 BT" w:hAnsi="Gothic720 BT"/>
        </w:rPr>
        <w:t>0011</w:t>
      </w:r>
      <w:r w:rsidR="00240017">
        <w:rPr>
          <w:rFonts w:ascii="Gothic720 BT" w:hAnsi="Gothic720 BT"/>
        </w:rPr>
        <w:t xml:space="preserve">, signado por </w:t>
      </w:r>
      <w:r w:rsidR="008D7333">
        <w:rPr>
          <w:rFonts w:ascii="Gothic720 BT" w:hAnsi="Gothic720 BT"/>
        </w:rPr>
        <w:t>Martín Arango García</w:t>
      </w:r>
      <w:r w:rsidR="00240017">
        <w:rPr>
          <w:rFonts w:ascii="Gothic720 BT" w:hAnsi="Gothic720 BT"/>
        </w:rPr>
        <w:t xml:space="preserve">, </w:t>
      </w:r>
      <w:r w:rsidR="00BC1140">
        <w:rPr>
          <w:rFonts w:ascii="Gothic720 BT" w:hAnsi="Gothic720 BT"/>
        </w:rPr>
        <w:t xml:space="preserve">en su carácter de </w:t>
      </w:r>
      <w:r w:rsidR="008D7333">
        <w:rPr>
          <w:rFonts w:ascii="Gothic720 BT" w:hAnsi="Gothic720 BT"/>
        </w:rPr>
        <w:t>Secretario General del Partido Acción Nacional</w:t>
      </w:r>
      <w:r w:rsidR="00240017">
        <w:rPr>
          <w:rFonts w:ascii="Gothic720 BT" w:hAnsi="Gothic720 BT"/>
        </w:rPr>
        <w:t xml:space="preserve">, mediante el cual informó las </w:t>
      </w:r>
      <w:r w:rsidR="001A7E9F">
        <w:rPr>
          <w:rFonts w:ascii="Gothic720 BT" w:hAnsi="Gothic720 BT"/>
        </w:rPr>
        <w:t xml:space="preserve">ratificación de las </w:t>
      </w:r>
      <w:r w:rsidR="00240017">
        <w:rPr>
          <w:rFonts w:ascii="Gothic720 BT" w:hAnsi="Gothic720 BT"/>
        </w:rPr>
        <w:t xml:space="preserve">cuentas bancarias destinadas al depósito de financiamiento público para </w:t>
      </w:r>
      <w:r w:rsidR="008D7333">
        <w:rPr>
          <w:rFonts w:ascii="Gothic720 BT" w:hAnsi="Gothic720 BT"/>
        </w:rPr>
        <w:t xml:space="preserve">actividades ordinarias, </w:t>
      </w:r>
      <w:r w:rsidR="00240017">
        <w:rPr>
          <w:rFonts w:ascii="Gothic720 BT" w:hAnsi="Gothic720 BT"/>
        </w:rPr>
        <w:t>actividades específicas</w:t>
      </w:r>
      <w:r w:rsidR="008D7333">
        <w:rPr>
          <w:rFonts w:ascii="Gothic720 BT" w:hAnsi="Gothic720 BT"/>
        </w:rPr>
        <w:t>, promoción política de la mujer, autofinanciamiento y para representantes de casilla</w:t>
      </w:r>
      <w:r w:rsidR="00240017">
        <w:rPr>
          <w:rFonts w:ascii="Gothic720 BT" w:hAnsi="Gothic720 BT"/>
        </w:rPr>
        <w:t xml:space="preserve"> del referido partido.</w:t>
      </w:r>
      <w:r w:rsidR="00240017">
        <w:rPr>
          <w:rStyle w:val="Refdenotaalpie"/>
          <w:rFonts w:ascii="Gothic720 BT" w:hAnsi="Gothic720 BT"/>
        </w:rPr>
        <w:footnoteReference w:id="1"/>
      </w:r>
      <w:r w:rsidR="00240017">
        <w:rPr>
          <w:rFonts w:ascii="Gothic720 BT" w:hAnsi="Gothic720 BT"/>
        </w:rPr>
        <w:t xml:space="preserve"> </w:t>
      </w:r>
    </w:p>
    <w:p w:rsidR="001A7E9F" w:rsidRDefault="001A7E9F" w:rsidP="00C73018">
      <w:pPr>
        <w:tabs>
          <w:tab w:val="left" w:pos="567"/>
        </w:tabs>
        <w:spacing w:after="0"/>
        <w:jc w:val="both"/>
        <w:rPr>
          <w:rFonts w:ascii="Gothic720 BT" w:hAnsi="Gothic720 BT"/>
        </w:rPr>
      </w:pPr>
    </w:p>
    <w:p w:rsidR="00C73018" w:rsidRDefault="001A7E9F" w:rsidP="00C73018">
      <w:pPr>
        <w:tabs>
          <w:tab w:val="left" w:pos="567"/>
        </w:tabs>
        <w:spacing w:after="0"/>
        <w:jc w:val="both"/>
        <w:rPr>
          <w:rFonts w:ascii="Gothic720 BT" w:hAnsi="Gothic720 BT"/>
        </w:rPr>
      </w:pPr>
      <w:r>
        <w:rPr>
          <w:rFonts w:ascii="Gothic720 BT" w:hAnsi="Gothic720 BT"/>
        </w:rPr>
        <w:t>2</w:t>
      </w:r>
      <w:r w:rsidR="00C73018">
        <w:rPr>
          <w:rFonts w:ascii="Gothic720 BT" w:hAnsi="Gothic720 BT"/>
        </w:rPr>
        <w:t xml:space="preserve">. El oficio </w:t>
      </w:r>
      <w:r>
        <w:rPr>
          <w:rFonts w:ascii="Gothic720 BT" w:hAnsi="Gothic720 BT"/>
        </w:rPr>
        <w:t>DEOEPyPP/135/2021</w:t>
      </w:r>
      <w:r w:rsidR="00BE1FB5">
        <w:rPr>
          <w:rFonts w:ascii="Gothic720 BT" w:hAnsi="Gothic720 BT"/>
        </w:rPr>
        <w:t xml:space="preserve"> </w:t>
      </w:r>
      <w:r>
        <w:rPr>
          <w:rFonts w:ascii="Gothic720 BT" w:hAnsi="Gothic720 BT"/>
        </w:rPr>
        <w:t xml:space="preserve">recibido el veinte de enero del año en curso, </w:t>
      </w:r>
      <w:r w:rsidR="00C73018">
        <w:rPr>
          <w:rFonts w:ascii="Gothic720 BT" w:hAnsi="Gothic720 BT"/>
        </w:rPr>
        <w:t xml:space="preserve">emitido por el </w:t>
      </w:r>
      <w:r>
        <w:rPr>
          <w:rFonts w:ascii="Gothic720 BT" w:hAnsi="Gothic720 BT"/>
        </w:rPr>
        <w:t xml:space="preserve">Director Ejecutivo de Organización Electoral, </w:t>
      </w:r>
      <w:r w:rsidR="00C73018">
        <w:rPr>
          <w:rFonts w:ascii="Gothic720 BT" w:hAnsi="Gothic720 BT"/>
        </w:rPr>
        <w:t>Prerrogativas y Partidos Políticos</w:t>
      </w:r>
      <w:r>
        <w:rPr>
          <w:rFonts w:ascii="Gothic720 BT" w:hAnsi="Gothic720 BT"/>
        </w:rPr>
        <w:t xml:space="preserve"> del Instituto</w:t>
      </w:r>
      <w:r w:rsidR="00C73018">
        <w:rPr>
          <w:rFonts w:ascii="Gothic720 BT" w:hAnsi="Gothic720 BT"/>
        </w:rPr>
        <w:t>, a través del cual informó que, del análisis realizado a la documentación</w:t>
      </w:r>
      <w:r w:rsidR="00240017">
        <w:rPr>
          <w:rFonts w:ascii="Gothic720 BT" w:hAnsi="Gothic720 BT"/>
        </w:rPr>
        <w:t xml:space="preserve"> </w:t>
      </w:r>
      <w:r>
        <w:rPr>
          <w:rFonts w:ascii="Gothic720 BT" w:hAnsi="Gothic720 BT"/>
        </w:rPr>
        <w:t>referida en el párrafo anterior</w:t>
      </w:r>
      <w:r w:rsidR="00C73018">
        <w:rPr>
          <w:rFonts w:ascii="Gothic720 BT" w:hAnsi="Gothic720 BT"/>
        </w:rPr>
        <w:t xml:space="preserve"> “…</w:t>
      </w:r>
      <w:r>
        <w:rPr>
          <w:rFonts w:ascii="Gothic720 BT" w:hAnsi="Gothic720 BT"/>
        </w:rPr>
        <w:t>no se advierten irregularidades en las cuentas bancarias informadas por dicho órgano político para el depósito de las ministraciones del depósito de las ministraciones del financiamiento para actividades ordinarias y específicas…</w:t>
      </w:r>
      <w:r w:rsidR="00C73018">
        <w:rPr>
          <w:rFonts w:ascii="Gothic720 BT" w:hAnsi="Gothic720 BT"/>
        </w:rPr>
        <w:t>”.</w:t>
      </w:r>
    </w:p>
    <w:p w:rsidR="00BE1FB5" w:rsidRDefault="00BE1FB5" w:rsidP="00C73018">
      <w:pPr>
        <w:tabs>
          <w:tab w:val="left" w:pos="567"/>
        </w:tabs>
        <w:spacing w:after="0"/>
        <w:jc w:val="both"/>
        <w:rPr>
          <w:rFonts w:ascii="Gothic720 BT" w:hAnsi="Gothic720 BT"/>
        </w:rPr>
      </w:pPr>
    </w:p>
    <w:p w:rsidR="00C73018" w:rsidRDefault="00C73018" w:rsidP="00C73018">
      <w:pPr>
        <w:tabs>
          <w:tab w:val="left" w:pos="567"/>
        </w:tabs>
        <w:spacing w:after="0"/>
        <w:jc w:val="both"/>
        <w:rPr>
          <w:rFonts w:ascii="Gothic720 BT" w:hAnsi="Gothic720 BT"/>
          <w:b/>
        </w:rPr>
      </w:pPr>
      <w:r>
        <w:rPr>
          <w:rFonts w:ascii="Gothic720 BT" w:hAnsi="Gothic720 BT"/>
        </w:rPr>
        <w:t>Con fundamento en el artículo 63, fracción I</w:t>
      </w:r>
      <w:r w:rsidR="00E30DE4">
        <w:rPr>
          <w:rFonts w:ascii="Gothic720 BT" w:hAnsi="Gothic720 BT"/>
        </w:rPr>
        <w:t>, VIII</w:t>
      </w:r>
      <w:r>
        <w:rPr>
          <w:rFonts w:ascii="Gothic720 BT" w:hAnsi="Gothic720 BT"/>
        </w:rPr>
        <w:t xml:space="preserve"> y XXXI de la Ley Electoral del Estado de Querétaro; el Secretario Ejecutivo del Instituto </w:t>
      </w:r>
      <w:r>
        <w:rPr>
          <w:rFonts w:ascii="Gothic720 BT" w:hAnsi="Gothic720 BT"/>
          <w:b/>
        </w:rPr>
        <w:t>ACUERDA:</w:t>
      </w:r>
    </w:p>
    <w:p w:rsidR="00C73018" w:rsidRDefault="00C73018" w:rsidP="00C73018">
      <w:pPr>
        <w:tabs>
          <w:tab w:val="left" w:pos="567"/>
        </w:tabs>
        <w:spacing w:after="0"/>
        <w:jc w:val="both"/>
        <w:rPr>
          <w:rFonts w:ascii="Gothic720 BT" w:hAnsi="Gothic720 BT"/>
          <w:b/>
        </w:rPr>
      </w:pPr>
    </w:p>
    <w:p w:rsidR="00C73018" w:rsidRPr="00BF6AC8" w:rsidRDefault="00C73018" w:rsidP="00C73018">
      <w:pPr>
        <w:tabs>
          <w:tab w:val="left" w:pos="567"/>
        </w:tabs>
        <w:spacing w:after="0"/>
        <w:jc w:val="both"/>
        <w:rPr>
          <w:rFonts w:ascii="Gothic720 BT" w:hAnsi="Gothic720 BT"/>
          <w:b/>
        </w:rPr>
      </w:pPr>
      <w:r w:rsidRPr="00195E18">
        <w:rPr>
          <w:rFonts w:ascii="Gothic720 BT" w:hAnsi="Gothic720 BT"/>
          <w:b/>
        </w:rPr>
        <w:t>PRIMERO. Recepción.</w:t>
      </w:r>
      <w:r>
        <w:rPr>
          <w:rFonts w:ascii="Gothic720 BT" w:hAnsi="Gothic720 BT"/>
        </w:rPr>
        <w:t xml:space="preserve"> Se tienen por recibidos los</w:t>
      </w:r>
      <w:r w:rsidRPr="00195E18">
        <w:rPr>
          <w:rFonts w:ascii="Gothic720 BT" w:hAnsi="Gothic720 BT"/>
        </w:rPr>
        <w:t xml:space="preserve"> d</w:t>
      </w:r>
      <w:r>
        <w:rPr>
          <w:rFonts w:ascii="Gothic720 BT" w:hAnsi="Gothic720 BT" w:cs="Arial"/>
          <w:lang w:eastAsia="es-ES"/>
        </w:rPr>
        <w:t xml:space="preserve">ocumentos de cuenta, mismos que constan en un total de </w:t>
      </w:r>
      <w:r w:rsidR="00E30DE4">
        <w:rPr>
          <w:rFonts w:ascii="Gothic720 BT" w:hAnsi="Gothic720 BT" w:cs="Arial"/>
          <w:lang w:eastAsia="es-ES"/>
        </w:rPr>
        <w:t>cuatro</w:t>
      </w:r>
      <w:r w:rsidRPr="00A64701">
        <w:rPr>
          <w:rFonts w:ascii="Gothic720 BT" w:hAnsi="Gothic720 BT" w:cs="Arial"/>
          <w:lang w:eastAsia="es-ES"/>
        </w:rPr>
        <w:t xml:space="preserve"> </w:t>
      </w:r>
      <w:r>
        <w:rPr>
          <w:rFonts w:ascii="Gothic720 BT" w:hAnsi="Gothic720 BT" w:cs="Arial"/>
          <w:lang w:eastAsia="es-ES"/>
        </w:rPr>
        <w:t>fojas útiles</w:t>
      </w:r>
      <w:r w:rsidRPr="00195E18">
        <w:rPr>
          <w:rFonts w:ascii="Gothic720 BT" w:hAnsi="Gothic720 BT" w:cs="Arial"/>
          <w:lang w:eastAsia="es-ES"/>
        </w:rPr>
        <w:t xml:space="preserve"> con texto por un solo lado</w:t>
      </w:r>
      <w:r w:rsidR="005078A1">
        <w:rPr>
          <w:rFonts w:ascii="Gothic720 BT" w:hAnsi="Gothic720 BT" w:cs="Arial"/>
          <w:lang w:eastAsia="es-ES"/>
        </w:rPr>
        <w:t>,</w:t>
      </w:r>
      <w:r>
        <w:rPr>
          <w:rStyle w:val="Refdenotaalpie"/>
          <w:rFonts w:ascii="Gothic720 BT" w:hAnsi="Gothic720 BT" w:cs="Arial"/>
          <w:lang w:eastAsia="es-ES"/>
        </w:rPr>
        <w:footnoteReference w:id="2"/>
      </w:r>
      <w:r w:rsidRPr="00195E18">
        <w:rPr>
          <w:rFonts w:ascii="Gothic720 BT" w:hAnsi="Gothic720 BT" w:cs="Arial"/>
          <w:lang w:eastAsia="es-ES"/>
        </w:rPr>
        <w:t xml:space="preserve"> </w:t>
      </w:r>
      <w:r>
        <w:rPr>
          <w:rFonts w:ascii="Gothic720 BT" w:hAnsi="Gothic720 BT" w:cs="Arial"/>
          <w:lang w:eastAsia="es-ES"/>
        </w:rPr>
        <w:t>los cuales</w:t>
      </w:r>
      <w:r w:rsidRPr="00195E18">
        <w:rPr>
          <w:rFonts w:ascii="Gothic720 BT" w:hAnsi="Gothic720 BT" w:cs="Arial"/>
          <w:lang w:eastAsia="es-ES"/>
        </w:rPr>
        <w:t xml:space="preserve"> se ordena</w:t>
      </w:r>
      <w:r w:rsidR="00E30DE4">
        <w:rPr>
          <w:rFonts w:ascii="Gothic720 BT" w:hAnsi="Gothic720 BT" w:cs="Arial"/>
          <w:lang w:eastAsia="es-ES"/>
        </w:rPr>
        <w:t>n</w:t>
      </w:r>
      <w:r w:rsidRPr="00195E18">
        <w:rPr>
          <w:rFonts w:ascii="Gothic720 BT" w:hAnsi="Gothic720 BT" w:cs="Arial"/>
          <w:lang w:eastAsia="es-ES"/>
        </w:rPr>
        <w:t xml:space="preserve"> agregar en autos para los efectos conducentes. </w:t>
      </w:r>
    </w:p>
    <w:p w:rsidR="00C73018" w:rsidRPr="00195E18" w:rsidRDefault="00C73018" w:rsidP="00C73018">
      <w:pPr>
        <w:tabs>
          <w:tab w:val="left" w:pos="567"/>
        </w:tabs>
        <w:spacing w:after="0"/>
        <w:jc w:val="both"/>
        <w:rPr>
          <w:rFonts w:ascii="Gothic720 BT" w:hAnsi="Gothic720 BT"/>
          <w:sz w:val="16"/>
          <w:szCs w:val="16"/>
        </w:rPr>
      </w:pPr>
    </w:p>
    <w:p w:rsidR="00C73018" w:rsidRDefault="00C73018" w:rsidP="00C73018">
      <w:pPr>
        <w:tabs>
          <w:tab w:val="left" w:pos="567"/>
        </w:tabs>
        <w:spacing w:after="0"/>
        <w:jc w:val="both"/>
        <w:rPr>
          <w:rFonts w:ascii="Gothic720 BT" w:hAnsi="Gothic720 BT"/>
        </w:rPr>
      </w:pPr>
      <w:r w:rsidRPr="00195E18">
        <w:rPr>
          <w:rFonts w:ascii="Gothic720 BT" w:hAnsi="Gothic720 BT"/>
          <w:b/>
        </w:rPr>
        <w:t>SEGUNDO.</w:t>
      </w:r>
      <w:r w:rsidRPr="00195E18">
        <w:rPr>
          <w:rFonts w:ascii="Gothic720 BT" w:hAnsi="Gothic720 BT"/>
        </w:rPr>
        <w:t xml:space="preserve"> </w:t>
      </w:r>
      <w:r w:rsidRPr="00953079">
        <w:rPr>
          <w:rFonts w:ascii="Gothic720 BT" w:hAnsi="Gothic720 BT"/>
          <w:b/>
        </w:rPr>
        <w:t>C</w:t>
      </w:r>
      <w:r w:rsidR="00E1172E">
        <w:rPr>
          <w:rFonts w:ascii="Gothic720 BT" w:hAnsi="Gothic720 BT"/>
          <w:b/>
        </w:rPr>
        <w:t>uentas bancarias y remisión</w:t>
      </w:r>
      <w:r>
        <w:rPr>
          <w:rFonts w:ascii="Gothic720 BT" w:hAnsi="Gothic720 BT"/>
        </w:rPr>
        <w:t xml:space="preserve">. De conformidad con las constancias de cuenta, se tiene al promovente </w:t>
      </w:r>
      <w:r w:rsidR="005078A1">
        <w:rPr>
          <w:rFonts w:ascii="Gothic720 BT" w:hAnsi="Gothic720 BT"/>
        </w:rPr>
        <w:t>ratificando</w:t>
      </w:r>
      <w:r>
        <w:rPr>
          <w:rFonts w:ascii="Gothic720 BT" w:hAnsi="Gothic720 BT"/>
        </w:rPr>
        <w:t xml:space="preserve"> las cuentas bancarias destinadas a la recepción del financiamiento público para </w:t>
      </w:r>
      <w:r w:rsidR="00E30DE4">
        <w:rPr>
          <w:rFonts w:ascii="Gothic720 BT" w:hAnsi="Gothic720 BT"/>
        </w:rPr>
        <w:t>actividades ordinarias</w:t>
      </w:r>
      <w:r w:rsidR="005078A1">
        <w:rPr>
          <w:rFonts w:ascii="Gothic720 BT" w:hAnsi="Gothic720 BT"/>
        </w:rPr>
        <w:t xml:space="preserve"> y específicas</w:t>
      </w:r>
      <w:r w:rsidR="00E30DE4">
        <w:rPr>
          <w:rFonts w:ascii="Gothic720 BT" w:hAnsi="Gothic720 BT"/>
        </w:rPr>
        <w:t>,</w:t>
      </w:r>
      <w:r w:rsidR="005078A1">
        <w:rPr>
          <w:rFonts w:ascii="Gothic720 BT" w:hAnsi="Gothic720 BT"/>
        </w:rPr>
        <w:t xml:space="preserve"> en términos de la documentación que obra en archivos del Instituto</w:t>
      </w:r>
      <w:r>
        <w:rPr>
          <w:rFonts w:ascii="Gothic720 BT" w:hAnsi="Gothic720 BT"/>
        </w:rPr>
        <w:t xml:space="preserve">. </w:t>
      </w:r>
    </w:p>
    <w:p w:rsidR="005078A1" w:rsidRDefault="005078A1" w:rsidP="00C73018">
      <w:pPr>
        <w:tabs>
          <w:tab w:val="left" w:pos="567"/>
        </w:tabs>
        <w:spacing w:after="0"/>
        <w:jc w:val="both"/>
        <w:rPr>
          <w:rFonts w:ascii="Gothic720 BT" w:hAnsi="Gothic720 BT"/>
        </w:rPr>
      </w:pPr>
    </w:p>
    <w:p w:rsidR="005078A1" w:rsidRDefault="005078A1" w:rsidP="00C73018">
      <w:pPr>
        <w:tabs>
          <w:tab w:val="left" w:pos="567"/>
        </w:tabs>
        <w:spacing w:after="0"/>
        <w:jc w:val="both"/>
        <w:rPr>
          <w:rFonts w:ascii="Gothic720 BT" w:hAnsi="Gothic720 BT"/>
        </w:rPr>
      </w:pPr>
      <w:r>
        <w:rPr>
          <w:rFonts w:ascii="Gothic720 BT" w:hAnsi="Gothic720 BT"/>
        </w:rPr>
        <w:t xml:space="preserve">Por cuanto ve a las cuentas vinculadas con la promoción política de la mujer, autofinanciamiento y para representantes de casilla, se ordena </w:t>
      </w:r>
      <w:r w:rsidR="00E1172E">
        <w:rPr>
          <w:rFonts w:ascii="Gothic720 BT" w:hAnsi="Gothic720 BT"/>
        </w:rPr>
        <w:t>remitir</w:t>
      </w:r>
      <w:r>
        <w:rPr>
          <w:rFonts w:ascii="Gothic720 BT" w:hAnsi="Gothic720 BT"/>
        </w:rPr>
        <w:t xml:space="preserve"> a la Unidad Técnica de Fiscalización del Instituto Nacional Electoral para los efectos que </w:t>
      </w:r>
      <w:r>
        <w:rPr>
          <w:rFonts w:ascii="Gothic720 BT" w:hAnsi="Gothic720 BT"/>
        </w:rPr>
        <w:lastRenderedPageBreak/>
        <w:t xml:space="preserve">correspondan de conformidad con los artículos 32, párrafo 1, inciso a), fracción VI de la Ley General de Instituciones y Procedimientos Electorales, así como 40, párrafo tercero de la Ley Electoral del Estado de Querétaro, toda vez que a este Instituto le corresponde conocer únicamente la cuenta para el </w:t>
      </w:r>
      <w:r w:rsidR="00E1172E">
        <w:rPr>
          <w:rFonts w:ascii="Gothic720 BT" w:hAnsi="Gothic720 BT"/>
          <w:lang w:eastAsia="es-MX"/>
        </w:rPr>
        <w:t xml:space="preserve">financiamiento público de actividades ordinarias y específicas, así como en su oportunidad sobre campañas.   </w:t>
      </w:r>
    </w:p>
    <w:p w:rsidR="005078A1" w:rsidRDefault="005078A1" w:rsidP="00C73018">
      <w:pPr>
        <w:tabs>
          <w:tab w:val="left" w:pos="567"/>
        </w:tabs>
        <w:spacing w:after="0"/>
        <w:jc w:val="both"/>
        <w:rPr>
          <w:rFonts w:ascii="Gothic720 BT" w:hAnsi="Gothic720 BT"/>
        </w:rPr>
      </w:pPr>
    </w:p>
    <w:p w:rsidR="00C73018" w:rsidRPr="00E1172E" w:rsidRDefault="00C73018" w:rsidP="00C73018">
      <w:pPr>
        <w:tabs>
          <w:tab w:val="left" w:pos="567"/>
        </w:tabs>
        <w:spacing w:after="0"/>
        <w:jc w:val="both"/>
        <w:rPr>
          <w:rFonts w:ascii="Gothic720 BT" w:hAnsi="Gothic720 BT"/>
          <w:b/>
        </w:rPr>
      </w:pPr>
      <w:r>
        <w:rPr>
          <w:rFonts w:ascii="Gothic720 BT" w:hAnsi="Gothic720 BT"/>
          <w:b/>
        </w:rPr>
        <w:t xml:space="preserve">TERCERO. Remisión. </w:t>
      </w:r>
      <w:r>
        <w:rPr>
          <w:rFonts w:ascii="Gothic720 BT" w:hAnsi="Gothic720 BT"/>
        </w:rPr>
        <w:t xml:space="preserve">Remítase copia de la presente determinación y de los documentos de cuenta a la Unidad Técnica de Fiscalización del Instituto Nacional Electoral, así como a la Dirección Ejecutiva de Organización Electoral, Prerrogativas y Partidos Políticos y a la Coordinación Administrativa, ambas de este Instituto, para los efectos que correspondan. </w:t>
      </w:r>
    </w:p>
    <w:p w:rsidR="00C73018" w:rsidRDefault="00C73018" w:rsidP="00C73018">
      <w:pPr>
        <w:tabs>
          <w:tab w:val="left" w:pos="567"/>
        </w:tabs>
        <w:spacing w:after="0"/>
        <w:jc w:val="both"/>
        <w:rPr>
          <w:rFonts w:ascii="Gothic720 BT" w:hAnsi="Gothic720 BT"/>
        </w:rPr>
      </w:pPr>
    </w:p>
    <w:p w:rsidR="00C73018" w:rsidRPr="00195E18" w:rsidRDefault="00C73018" w:rsidP="00C73018">
      <w:pPr>
        <w:tabs>
          <w:tab w:val="left" w:pos="567"/>
        </w:tabs>
        <w:spacing w:after="0"/>
        <w:jc w:val="both"/>
        <w:rPr>
          <w:rFonts w:ascii="Gothic720 BT" w:hAnsi="Gothic720 BT"/>
        </w:rPr>
      </w:pPr>
      <w:r w:rsidRPr="00195E18">
        <w:rPr>
          <w:rFonts w:ascii="Gothic720 BT" w:hAnsi="Gothic720 BT"/>
          <w:b/>
        </w:rPr>
        <w:t xml:space="preserve">Notifíquese </w:t>
      </w:r>
      <w:r>
        <w:rPr>
          <w:rFonts w:ascii="Gothic720 BT" w:hAnsi="Gothic720 BT"/>
          <w:b/>
        </w:rPr>
        <w:t xml:space="preserve">por oficio y a través de los estrados del </w:t>
      </w:r>
      <w:r w:rsidRPr="00195E18">
        <w:rPr>
          <w:rFonts w:ascii="Gothic720 BT" w:hAnsi="Gothic720 BT"/>
          <w:b/>
        </w:rPr>
        <w:t>Consejo General</w:t>
      </w:r>
      <w:r>
        <w:rPr>
          <w:rFonts w:ascii="Gothic720 BT" w:hAnsi="Gothic720 BT"/>
          <w:b/>
        </w:rPr>
        <w:t xml:space="preserve"> del Instituto Electoral del Estado de Querétaro</w:t>
      </w:r>
      <w:r w:rsidRPr="00195E18">
        <w:rPr>
          <w:rFonts w:ascii="Gothic720 BT" w:hAnsi="Gothic720 BT"/>
          <w:b/>
        </w:rPr>
        <w:t>, con fundamento en</w:t>
      </w:r>
      <w:r w:rsidR="00DD63F5">
        <w:rPr>
          <w:rFonts w:ascii="Gothic720 BT" w:hAnsi="Gothic720 BT"/>
          <w:b/>
        </w:rPr>
        <w:t xml:space="preserve"> los artículos 50, fracción</w:t>
      </w:r>
      <w:r>
        <w:rPr>
          <w:rFonts w:ascii="Gothic720 BT" w:hAnsi="Gothic720 BT"/>
          <w:b/>
        </w:rPr>
        <w:t xml:space="preserve"> II</w:t>
      </w:r>
      <w:r w:rsidRPr="00195E18">
        <w:rPr>
          <w:rFonts w:ascii="Gothic720 BT" w:hAnsi="Gothic720 BT"/>
          <w:b/>
        </w:rPr>
        <w:t xml:space="preserve">, </w:t>
      </w:r>
      <w:r>
        <w:rPr>
          <w:rFonts w:ascii="Gothic720 BT" w:hAnsi="Gothic720 BT"/>
          <w:b/>
        </w:rPr>
        <w:t xml:space="preserve">52, </w:t>
      </w:r>
      <w:r w:rsidR="00DD63F5">
        <w:rPr>
          <w:rFonts w:ascii="Gothic720 BT" w:hAnsi="Gothic720 BT"/>
          <w:b/>
        </w:rPr>
        <w:t>y</w:t>
      </w:r>
      <w:r>
        <w:rPr>
          <w:rFonts w:ascii="Gothic720 BT" w:hAnsi="Gothic720 BT"/>
          <w:b/>
        </w:rPr>
        <w:t xml:space="preserve"> 56, </w:t>
      </w:r>
      <w:r w:rsidR="00DD63F5">
        <w:rPr>
          <w:rFonts w:ascii="Gothic720 BT" w:hAnsi="Gothic720 BT"/>
          <w:b/>
        </w:rPr>
        <w:t>fracción II</w:t>
      </w:r>
      <w:r w:rsidRPr="00195E18">
        <w:rPr>
          <w:rFonts w:ascii="Gothic720 BT" w:hAnsi="Gothic720 BT"/>
          <w:b/>
        </w:rPr>
        <w:t xml:space="preserve"> de la Ley de Medios de Impugnación en materia electoral del Estado de Querétaro.</w:t>
      </w:r>
    </w:p>
    <w:p w:rsidR="00C73018" w:rsidRPr="00195E18" w:rsidRDefault="00C73018" w:rsidP="00C73018">
      <w:pPr>
        <w:spacing w:after="0"/>
        <w:jc w:val="both"/>
        <w:rPr>
          <w:rFonts w:ascii="Gothic720 BT" w:hAnsi="Gothic720 BT"/>
        </w:rPr>
      </w:pPr>
    </w:p>
    <w:p w:rsidR="00C73018" w:rsidRPr="00195E18" w:rsidRDefault="00C73018" w:rsidP="00C73018">
      <w:pPr>
        <w:spacing w:after="0"/>
        <w:jc w:val="both"/>
        <w:rPr>
          <w:rFonts w:ascii="Gothic720 BT" w:hAnsi="Gothic720 BT"/>
          <w:b/>
        </w:rPr>
      </w:pPr>
      <w:r w:rsidRPr="00195E18">
        <w:rPr>
          <w:rFonts w:ascii="Gothic720 BT" w:hAnsi="Gothic720 BT"/>
        </w:rPr>
        <w:t>Así l</w:t>
      </w:r>
      <w:r>
        <w:rPr>
          <w:rFonts w:ascii="Gothic720 BT" w:hAnsi="Gothic720 BT"/>
        </w:rPr>
        <w:t xml:space="preserve">o proveyó y firmó el Secretario Ejecutivo del Instituto Electoral del Estado de Querétaro, quien autoriza. </w:t>
      </w:r>
      <w:r w:rsidRPr="00195E18">
        <w:rPr>
          <w:rFonts w:ascii="Gothic720 BT" w:hAnsi="Gothic720 BT"/>
          <w:b/>
        </w:rPr>
        <w:t>DOY FE.</w:t>
      </w:r>
    </w:p>
    <w:p w:rsidR="00C73018" w:rsidRPr="00195E18" w:rsidRDefault="00C73018" w:rsidP="00C73018">
      <w:pPr>
        <w:spacing w:after="0"/>
        <w:jc w:val="both"/>
        <w:rPr>
          <w:rFonts w:ascii="Gothic720 BT" w:hAnsi="Gothic720 BT"/>
          <w:b/>
        </w:rPr>
      </w:pPr>
    </w:p>
    <w:p w:rsidR="00C73018" w:rsidRDefault="00C73018" w:rsidP="00C73018">
      <w:pPr>
        <w:spacing w:after="0"/>
        <w:jc w:val="both"/>
        <w:rPr>
          <w:rFonts w:ascii="Gothic720 BT" w:hAnsi="Gothic720 BT"/>
          <w:b/>
        </w:rPr>
      </w:pPr>
    </w:p>
    <w:p w:rsidR="00C73018" w:rsidRDefault="00C73018" w:rsidP="00C73018">
      <w:pPr>
        <w:spacing w:after="0"/>
        <w:jc w:val="both"/>
        <w:rPr>
          <w:rFonts w:ascii="Gothic720 BT" w:hAnsi="Gothic720 BT"/>
          <w:b/>
        </w:rPr>
      </w:pPr>
    </w:p>
    <w:p w:rsidR="00C73018" w:rsidRPr="00195E18" w:rsidRDefault="00C73018" w:rsidP="00C73018">
      <w:pPr>
        <w:spacing w:after="0"/>
        <w:jc w:val="both"/>
        <w:rPr>
          <w:rFonts w:ascii="Gothic720 BT" w:hAnsi="Gothic720 BT"/>
          <w:b/>
        </w:rPr>
      </w:pPr>
    </w:p>
    <w:p w:rsidR="00C73018" w:rsidRPr="00195E18" w:rsidRDefault="00C73018" w:rsidP="00C73018">
      <w:pPr>
        <w:spacing w:after="0"/>
        <w:jc w:val="both"/>
        <w:rPr>
          <w:rFonts w:ascii="Gothic720 BT" w:hAnsi="Gothic720 BT"/>
          <w:b/>
        </w:rPr>
      </w:pPr>
    </w:p>
    <w:p w:rsidR="00C73018" w:rsidRPr="00195E18" w:rsidRDefault="00C73018" w:rsidP="00C73018">
      <w:pPr>
        <w:spacing w:after="0"/>
        <w:jc w:val="both"/>
        <w:rPr>
          <w:rFonts w:ascii="Gothic720 BT" w:hAnsi="Gothic720 BT"/>
          <w:b/>
        </w:rPr>
      </w:pPr>
    </w:p>
    <w:p w:rsidR="00C73018" w:rsidRDefault="00C73018" w:rsidP="00C73018">
      <w:pPr>
        <w:spacing w:after="0"/>
        <w:jc w:val="center"/>
        <w:rPr>
          <w:rFonts w:ascii="Gothic720 BT" w:hAnsi="Gothic720 BT"/>
          <w:b/>
        </w:rPr>
      </w:pPr>
      <w:r>
        <w:rPr>
          <w:rFonts w:ascii="Gothic720 BT" w:hAnsi="Gothic720 BT"/>
          <w:b/>
        </w:rPr>
        <w:t>Mtro. Carlos Alejandro Pérez Espíndola</w:t>
      </w:r>
    </w:p>
    <w:p w:rsidR="00C73018" w:rsidRPr="00195E18" w:rsidRDefault="00C73018" w:rsidP="00C73018">
      <w:pPr>
        <w:spacing w:after="0"/>
        <w:jc w:val="center"/>
        <w:rPr>
          <w:rFonts w:ascii="Gothic720 BT" w:hAnsi="Gothic720 BT"/>
          <w:b/>
        </w:rPr>
      </w:pPr>
      <w:r>
        <w:rPr>
          <w:rFonts w:ascii="Gothic720 BT" w:hAnsi="Gothic720 BT"/>
        </w:rPr>
        <w:t>Secretario Ejecutivo</w:t>
      </w:r>
      <w:r>
        <w:rPr>
          <w:rFonts w:ascii="Gothic720 BT" w:hAnsi="Gothic720 BT"/>
          <w:b/>
        </w:rPr>
        <w:t xml:space="preserve"> </w:t>
      </w:r>
    </w:p>
    <w:p w:rsidR="00C73018" w:rsidRPr="00195E18" w:rsidRDefault="00C73018" w:rsidP="00C73018">
      <w:pPr>
        <w:tabs>
          <w:tab w:val="left" w:pos="851"/>
        </w:tabs>
        <w:spacing w:after="0"/>
        <w:jc w:val="center"/>
        <w:rPr>
          <w:rFonts w:ascii="Gothic720 BT" w:hAnsi="Gothic720 BT"/>
          <w:b/>
        </w:rPr>
      </w:pPr>
    </w:p>
    <w:p w:rsidR="00C73018" w:rsidRPr="00195E18" w:rsidRDefault="00C73018" w:rsidP="00C73018">
      <w:pPr>
        <w:tabs>
          <w:tab w:val="left" w:pos="851"/>
        </w:tabs>
        <w:spacing w:after="0"/>
        <w:jc w:val="both"/>
        <w:rPr>
          <w:rFonts w:ascii="Gothic720 BT" w:hAnsi="Gothic720 BT"/>
          <w:b/>
        </w:rPr>
      </w:pPr>
    </w:p>
    <w:p w:rsidR="00C73018" w:rsidRPr="00195E18" w:rsidRDefault="00C73018" w:rsidP="00C73018">
      <w:pPr>
        <w:tabs>
          <w:tab w:val="left" w:pos="851"/>
        </w:tabs>
        <w:spacing w:after="0"/>
        <w:jc w:val="both"/>
        <w:rPr>
          <w:rFonts w:ascii="Gothic720 BT" w:hAnsi="Gothic720 BT"/>
          <w:b/>
        </w:rPr>
      </w:pPr>
    </w:p>
    <w:p w:rsidR="00C73018" w:rsidRPr="00195E18" w:rsidRDefault="00C73018" w:rsidP="00C73018">
      <w:pPr>
        <w:tabs>
          <w:tab w:val="left" w:pos="851"/>
        </w:tabs>
        <w:spacing w:after="0"/>
        <w:jc w:val="both"/>
        <w:rPr>
          <w:rFonts w:ascii="Gothic720 BT" w:hAnsi="Gothic720 BT"/>
          <w:b/>
        </w:rPr>
      </w:pPr>
    </w:p>
    <w:p w:rsidR="00C73018" w:rsidRPr="00195E18" w:rsidRDefault="00C73018" w:rsidP="00C73018">
      <w:pPr>
        <w:tabs>
          <w:tab w:val="left" w:pos="851"/>
        </w:tabs>
        <w:spacing w:after="0"/>
        <w:jc w:val="both"/>
        <w:rPr>
          <w:rFonts w:ascii="Gothic720 BT" w:hAnsi="Gothic720 BT"/>
          <w:b/>
        </w:rPr>
      </w:pPr>
    </w:p>
    <w:p w:rsidR="00C73018" w:rsidRPr="00195E18" w:rsidRDefault="00C73018" w:rsidP="00C73018">
      <w:pPr>
        <w:tabs>
          <w:tab w:val="left" w:pos="851"/>
        </w:tabs>
        <w:spacing w:after="0"/>
        <w:jc w:val="both"/>
        <w:rPr>
          <w:rFonts w:ascii="Gothic720 BT" w:hAnsi="Gothic720 BT"/>
          <w:b/>
        </w:rPr>
      </w:pPr>
    </w:p>
    <w:p w:rsidR="00C73018" w:rsidRPr="00195E18" w:rsidRDefault="00C73018" w:rsidP="00C73018">
      <w:pPr>
        <w:tabs>
          <w:tab w:val="left" w:pos="851"/>
        </w:tabs>
        <w:spacing w:after="0"/>
        <w:jc w:val="both"/>
        <w:rPr>
          <w:rFonts w:ascii="Gothic720 BT" w:hAnsi="Gothic720 BT"/>
          <w:b/>
        </w:rPr>
      </w:pPr>
    </w:p>
    <w:p w:rsidR="00C73018" w:rsidRDefault="00C73018" w:rsidP="00C73018">
      <w:pPr>
        <w:tabs>
          <w:tab w:val="left" w:pos="851"/>
        </w:tabs>
        <w:spacing w:after="0"/>
        <w:jc w:val="both"/>
        <w:rPr>
          <w:rFonts w:ascii="Gothic720 BT" w:hAnsi="Gothic720 BT"/>
          <w:b/>
        </w:rPr>
      </w:pPr>
    </w:p>
    <w:p w:rsidR="00C73018" w:rsidRDefault="00C73018" w:rsidP="00C73018">
      <w:pPr>
        <w:tabs>
          <w:tab w:val="left" w:pos="851"/>
        </w:tabs>
        <w:spacing w:after="0"/>
        <w:jc w:val="both"/>
        <w:rPr>
          <w:rFonts w:ascii="Gothic720 BT" w:hAnsi="Gothic720 BT"/>
          <w:b/>
        </w:rPr>
      </w:pPr>
    </w:p>
    <w:p w:rsidR="00C73018" w:rsidRDefault="00C73018" w:rsidP="00C73018">
      <w:pPr>
        <w:tabs>
          <w:tab w:val="left" w:pos="851"/>
        </w:tabs>
        <w:spacing w:after="0"/>
        <w:jc w:val="both"/>
        <w:rPr>
          <w:rFonts w:ascii="Gothic720 BT" w:hAnsi="Gothic720 BT"/>
          <w:b/>
        </w:rPr>
      </w:pPr>
    </w:p>
    <w:p w:rsidR="00C73018" w:rsidRDefault="00C73018" w:rsidP="00C73018">
      <w:pPr>
        <w:tabs>
          <w:tab w:val="left" w:pos="851"/>
        </w:tabs>
        <w:spacing w:after="0"/>
        <w:jc w:val="both"/>
        <w:rPr>
          <w:rFonts w:ascii="Gothic720 BT" w:hAnsi="Gothic720 BT"/>
          <w:b/>
        </w:rPr>
      </w:pPr>
    </w:p>
    <w:p w:rsidR="00C73018" w:rsidRDefault="00C73018" w:rsidP="00C73018">
      <w:pPr>
        <w:tabs>
          <w:tab w:val="left" w:pos="851"/>
        </w:tabs>
        <w:spacing w:after="0"/>
        <w:jc w:val="both"/>
        <w:rPr>
          <w:rFonts w:ascii="Gothic720 BT" w:hAnsi="Gothic720 BT"/>
          <w:b/>
        </w:rPr>
      </w:pPr>
    </w:p>
    <w:p w:rsidR="00C73018" w:rsidRDefault="00C73018" w:rsidP="00C73018">
      <w:pPr>
        <w:tabs>
          <w:tab w:val="left" w:pos="851"/>
        </w:tabs>
        <w:spacing w:after="0"/>
        <w:jc w:val="both"/>
        <w:rPr>
          <w:rFonts w:ascii="Gothic720 BT" w:hAnsi="Gothic720 BT"/>
          <w:b/>
        </w:rPr>
      </w:pPr>
    </w:p>
    <w:p w:rsidR="00C73018" w:rsidRDefault="00C73018" w:rsidP="00C73018">
      <w:pPr>
        <w:tabs>
          <w:tab w:val="left" w:pos="851"/>
        </w:tabs>
        <w:spacing w:after="0"/>
        <w:jc w:val="both"/>
        <w:rPr>
          <w:rFonts w:ascii="Gothic720 BT" w:hAnsi="Gothic720 BT"/>
          <w:b/>
        </w:rPr>
      </w:pPr>
    </w:p>
    <w:p w:rsidR="0087522E" w:rsidRDefault="0087522E">
      <w:bookmarkStart w:id="0" w:name="_GoBack"/>
      <w:bookmarkEnd w:id="0"/>
    </w:p>
    <w:sectPr w:rsidR="0087522E" w:rsidSect="00421ECD">
      <w:pgSz w:w="12240" w:h="15840"/>
      <w:pgMar w:top="1418" w:right="1418"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C62" w:rsidRDefault="00D15C62" w:rsidP="00C73018">
      <w:pPr>
        <w:spacing w:after="0" w:line="240" w:lineRule="auto"/>
      </w:pPr>
      <w:r>
        <w:separator/>
      </w:r>
    </w:p>
  </w:endnote>
  <w:endnote w:type="continuationSeparator" w:id="0">
    <w:p w:rsidR="00D15C62" w:rsidRDefault="00D15C62" w:rsidP="00C7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C62" w:rsidRDefault="00D15C62" w:rsidP="00C73018">
      <w:pPr>
        <w:spacing w:after="0" w:line="240" w:lineRule="auto"/>
      </w:pPr>
      <w:r>
        <w:separator/>
      </w:r>
    </w:p>
  </w:footnote>
  <w:footnote w:type="continuationSeparator" w:id="0">
    <w:p w:rsidR="00D15C62" w:rsidRDefault="00D15C62" w:rsidP="00C73018">
      <w:pPr>
        <w:spacing w:after="0" w:line="240" w:lineRule="auto"/>
      </w:pPr>
      <w:r>
        <w:continuationSeparator/>
      </w:r>
    </w:p>
  </w:footnote>
  <w:footnote w:id="1">
    <w:p w:rsidR="00240017" w:rsidRPr="00625093" w:rsidRDefault="00240017" w:rsidP="00240017">
      <w:pPr>
        <w:pStyle w:val="Textonotapie"/>
        <w:jc w:val="both"/>
        <w:rPr>
          <w:rFonts w:ascii="Gothic720 BT" w:hAnsi="Gothic720 BT"/>
          <w:sz w:val="14"/>
          <w:szCs w:val="14"/>
        </w:rPr>
      </w:pPr>
      <w:r w:rsidRPr="00625093">
        <w:rPr>
          <w:rStyle w:val="Refdenotaalpie"/>
          <w:rFonts w:ascii="Gothic720 BT" w:hAnsi="Gothic720 BT"/>
          <w:sz w:val="14"/>
          <w:szCs w:val="14"/>
        </w:rPr>
        <w:footnoteRef/>
      </w:r>
      <w:r w:rsidR="00BE1FB5">
        <w:rPr>
          <w:rFonts w:ascii="Gothic720 BT" w:hAnsi="Gothic720 BT"/>
          <w:sz w:val="14"/>
          <w:szCs w:val="14"/>
        </w:rPr>
        <w:t xml:space="preserve"> </w:t>
      </w:r>
      <w:r w:rsidR="00BC1140">
        <w:rPr>
          <w:rFonts w:ascii="Gothic720 BT" w:hAnsi="Gothic720 BT"/>
          <w:sz w:val="14"/>
          <w:szCs w:val="14"/>
        </w:rPr>
        <w:t>El seis de enero del año en curso, m</w:t>
      </w:r>
      <w:r w:rsidR="00BE1FB5">
        <w:rPr>
          <w:rFonts w:ascii="Gothic720 BT" w:hAnsi="Gothic720 BT"/>
          <w:sz w:val="14"/>
          <w:szCs w:val="14"/>
        </w:rPr>
        <w:t>ediante oficio SE/066</w:t>
      </w:r>
      <w:r w:rsidRPr="00625093">
        <w:rPr>
          <w:rFonts w:ascii="Gothic720 BT" w:hAnsi="Gothic720 BT"/>
          <w:sz w:val="14"/>
          <w:szCs w:val="14"/>
        </w:rPr>
        <w:t xml:space="preserve">/20 esta Secretaría Ejecutiva remitió dichos documentos a la Dirección Ejecutiva de Organización Electoral, Prerrogativas y Partidos Políticos para efectos de su análisis.      </w:t>
      </w:r>
    </w:p>
  </w:footnote>
  <w:footnote w:id="2">
    <w:p w:rsidR="00C73018" w:rsidRPr="00625093" w:rsidRDefault="00C73018" w:rsidP="00C73018">
      <w:pPr>
        <w:pStyle w:val="Textonotapie"/>
        <w:jc w:val="both"/>
        <w:rPr>
          <w:rFonts w:ascii="Gothic720 BT" w:hAnsi="Gothic720 BT"/>
          <w:sz w:val="14"/>
          <w:szCs w:val="14"/>
        </w:rPr>
      </w:pPr>
      <w:r w:rsidRPr="00625093">
        <w:rPr>
          <w:rStyle w:val="Refdenotaalpie"/>
          <w:rFonts w:ascii="Gothic720 BT" w:hAnsi="Gothic720 BT"/>
          <w:sz w:val="14"/>
          <w:szCs w:val="14"/>
        </w:rPr>
        <w:footnoteRef/>
      </w:r>
      <w:r w:rsidRPr="00625093">
        <w:rPr>
          <w:rFonts w:ascii="Gothic720 BT" w:hAnsi="Gothic720 BT"/>
          <w:sz w:val="14"/>
          <w:szCs w:val="14"/>
        </w:rPr>
        <w:t xml:space="preserve"> Se precisa que se agrega en autos </w:t>
      </w:r>
      <w:r w:rsidR="005078A1">
        <w:rPr>
          <w:rFonts w:ascii="Gothic720 BT" w:hAnsi="Gothic720 BT"/>
          <w:sz w:val="14"/>
          <w:szCs w:val="14"/>
        </w:rPr>
        <w:t>el</w:t>
      </w:r>
      <w:r w:rsidRPr="00625093">
        <w:rPr>
          <w:rFonts w:ascii="Gothic720 BT" w:hAnsi="Gothic720 BT"/>
          <w:sz w:val="14"/>
          <w:szCs w:val="14"/>
        </w:rPr>
        <w:t xml:space="preserve"> acuse de recibo de la Oficial</w:t>
      </w:r>
      <w:r w:rsidR="00240017">
        <w:rPr>
          <w:rFonts w:ascii="Gothic720 BT" w:hAnsi="Gothic720 BT"/>
          <w:sz w:val="14"/>
          <w:szCs w:val="14"/>
        </w:rPr>
        <w:t>ía de Partes de este Instituto</w:t>
      </w:r>
      <w:r w:rsidRPr="00625093">
        <w:rPr>
          <w:rFonts w:ascii="Gothic720 BT" w:hAnsi="Gothic720 BT"/>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18"/>
    <w:rsid w:val="000C6D82"/>
    <w:rsid w:val="00123410"/>
    <w:rsid w:val="001443D8"/>
    <w:rsid w:val="001A7E9F"/>
    <w:rsid w:val="001B5247"/>
    <w:rsid w:val="00240017"/>
    <w:rsid w:val="002472A6"/>
    <w:rsid w:val="004D3E3C"/>
    <w:rsid w:val="005078A1"/>
    <w:rsid w:val="00557797"/>
    <w:rsid w:val="0056141D"/>
    <w:rsid w:val="00565247"/>
    <w:rsid w:val="00671BA9"/>
    <w:rsid w:val="006A76C5"/>
    <w:rsid w:val="00802A5A"/>
    <w:rsid w:val="00810033"/>
    <w:rsid w:val="0087522E"/>
    <w:rsid w:val="00877CAD"/>
    <w:rsid w:val="008D7333"/>
    <w:rsid w:val="00A94596"/>
    <w:rsid w:val="00BA0213"/>
    <w:rsid w:val="00BC1140"/>
    <w:rsid w:val="00BE1FB5"/>
    <w:rsid w:val="00C325BC"/>
    <w:rsid w:val="00C73018"/>
    <w:rsid w:val="00D15C62"/>
    <w:rsid w:val="00D914D7"/>
    <w:rsid w:val="00DD63F5"/>
    <w:rsid w:val="00E1172E"/>
    <w:rsid w:val="00E30DE4"/>
    <w:rsid w:val="00F21600"/>
    <w:rsid w:val="00F52508"/>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1262"/>
  <w15:chartTrackingRefBased/>
  <w15:docId w15:val="{A2F2BA27-CCB4-4FA9-AC25-562D4EC6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01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unhideWhenUsed/>
    <w:qFormat/>
    <w:rsid w:val="00C73018"/>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C73018"/>
    <w:rPr>
      <w:rFonts w:ascii="Calibri" w:eastAsia="Calibri" w:hAnsi="Calibri" w:cs="Times New Roman"/>
      <w:sz w:val="20"/>
      <w:szCs w:val="20"/>
    </w:rPr>
  </w:style>
  <w:style w:type="character" w:styleId="Refdenotaalpie">
    <w:name w:val="footnote reference"/>
    <w:aliases w:val="4_G,16 Point,Superscript 6 Point,Texto nota al pie,Footnote Reference Char3,Footnote Reference Char1 Char,Ref. de nota al"/>
    <w:uiPriority w:val="99"/>
    <w:unhideWhenUsed/>
    <w:qFormat/>
    <w:rsid w:val="00C73018"/>
    <w:rPr>
      <w:vertAlign w:val="superscript"/>
    </w:rPr>
  </w:style>
  <w:style w:type="paragraph" w:customStyle="1" w:styleId="Default">
    <w:name w:val="Default"/>
    <w:rsid w:val="00C73018"/>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Textodeglobo">
    <w:name w:val="Balloon Text"/>
    <w:basedOn w:val="Normal"/>
    <w:link w:val="TextodegloboCar"/>
    <w:uiPriority w:val="99"/>
    <w:semiHidden/>
    <w:unhideWhenUsed/>
    <w:rsid w:val="00877C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A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657</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12</cp:revision>
  <cp:lastPrinted>2021-01-21T17:32:00Z</cp:lastPrinted>
  <dcterms:created xsi:type="dcterms:W3CDTF">2021-01-21T15:27:00Z</dcterms:created>
  <dcterms:modified xsi:type="dcterms:W3CDTF">2021-01-21T19:30:00Z</dcterms:modified>
</cp:coreProperties>
</file>