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EE643D">
      <w:pPr>
        <w:spacing w:after="0" w:line="240" w:lineRule="auto"/>
        <w:ind w:left="4395"/>
        <w:jc w:val="both"/>
        <w:rPr>
          <w:rFonts w:ascii="Gothic720 BT" w:hAnsi="Gothic720 BT" w:cs="Arial"/>
          <w:lang w:eastAsia="es-ES"/>
        </w:rPr>
      </w:pPr>
      <w:r>
        <w:rPr>
          <w:rFonts w:ascii="Gothic720 BT" w:hAnsi="Gothic720 BT" w:cs="Arial"/>
          <w:b/>
          <w:lang w:eastAsia="es-ES"/>
        </w:rPr>
        <w:t>EXPEDIENTE:</w:t>
      </w:r>
      <w:r>
        <w:rPr>
          <w:rFonts w:ascii="Gothic720 BT" w:hAnsi="Gothic720 BT" w:cs="Arial"/>
          <w:lang w:eastAsia="es-ES"/>
        </w:rPr>
        <w:t xml:space="preserve"> IEEQ/AG/019/2014-P. </w:t>
      </w:r>
    </w:p>
    <w:p w:rsidR="00EE643D" w:rsidRDefault="00EE643D" w:rsidP="00EE643D">
      <w:pPr>
        <w:spacing w:before="100" w:beforeAutospacing="1" w:after="100" w:afterAutospacing="1" w:line="240" w:lineRule="auto"/>
        <w:ind w:left="4395" w:right="49"/>
        <w:jc w:val="both"/>
        <w:rPr>
          <w:rFonts w:ascii="Gothic720 BT" w:hAnsi="Gothic720 BT" w:cs="Arial"/>
          <w:lang w:eastAsia="es-ES"/>
        </w:rPr>
      </w:pPr>
      <w:r>
        <w:rPr>
          <w:rFonts w:ascii="Gothic720 BT" w:hAnsi="Gothic720 BT" w:cs="Arial"/>
          <w:b/>
          <w:lang w:eastAsia="es-ES"/>
        </w:rPr>
        <w:t>PROMOVENTE</w:t>
      </w:r>
      <w:r>
        <w:rPr>
          <w:rFonts w:ascii="Gothic720 BT" w:hAnsi="Gothic720 BT" w:cs="Arial"/>
          <w:lang w:eastAsia="es-ES"/>
        </w:rPr>
        <w:t>: INSTITUTO NACIONAL ELECTORAL, A TRAVÉS DE LA UNIDAD TÉCNICA DE VINCULACIÓN CON LOS ORGANISMOS PÚBLICOS LOCALES.</w:t>
      </w:r>
    </w:p>
    <w:p w:rsidR="00EE643D" w:rsidRDefault="00EE643D" w:rsidP="00EE643D">
      <w:pPr>
        <w:spacing w:before="100" w:beforeAutospacing="1" w:after="0" w:line="240" w:lineRule="auto"/>
        <w:ind w:left="4395"/>
        <w:jc w:val="both"/>
        <w:rPr>
          <w:rFonts w:ascii="Gothic720 BT" w:hAnsi="Gothic720 BT" w:cs="Arial"/>
          <w:lang w:eastAsia="es-ES"/>
        </w:rPr>
      </w:pPr>
      <w:r>
        <w:rPr>
          <w:rFonts w:ascii="Gothic720 BT" w:hAnsi="Gothic720 BT" w:cs="Arial"/>
          <w:b/>
          <w:lang w:eastAsia="es-ES"/>
        </w:rPr>
        <w:t xml:space="preserve">ASUNTO: </w:t>
      </w:r>
      <w:r>
        <w:rPr>
          <w:rFonts w:ascii="Gothic720 BT" w:hAnsi="Gothic720 BT" w:cs="Arial"/>
          <w:lang w:eastAsia="es-ES"/>
        </w:rPr>
        <w:t>SE ORDENA AGREGAR DOCUMENTACIÓN EMITIDA POR EL INSTITUTO NACIONAL ELECTORAL Y VISTA.</w:t>
      </w:r>
    </w:p>
    <w:p w:rsidR="00EE643D" w:rsidRDefault="00EE643D" w:rsidP="00EE643D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>
        <w:rPr>
          <w:rFonts w:ascii="Gothic720 BT" w:hAnsi="Gothic720 BT" w:cs="Arial"/>
          <w:b/>
          <w:bCs/>
          <w:lang w:val="es-ES"/>
        </w:rPr>
        <w:t>CÉDULA DE NOTIFICACIÓN POR ESTRADOS</w:t>
      </w:r>
    </w:p>
    <w:p w:rsidR="00EE643D" w:rsidRDefault="00EE643D" w:rsidP="00EE643D">
      <w:pPr>
        <w:spacing w:before="100" w:beforeAutospacing="1" w:after="100" w:afterAutospacing="1"/>
        <w:jc w:val="both"/>
        <w:rPr>
          <w:rFonts w:ascii="Gothic720 BT" w:hAnsi="Gothic720 BT" w:cs="Arial"/>
          <w:bCs/>
          <w:lang w:val="es-ES"/>
        </w:rPr>
      </w:pPr>
      <w:r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 w:rsidR="00B30A16">
        <w:rPr>
          <w:rFonts w:ascii="Gothic720 BT" w:hAnsi="Gothic720 BT" w:cs="Arial"/>
          <w:bCs/>
          <w:lang w:val="es-ES"/>
        </w:rPr>
        <w:t>dieciocho</w:t>
      </w:r>
      <w:r>
        <w:rPr>
          <w:rFonts w:ascii="Gothic720 BT" w:hAnsi="Gothic720 BT" w:cs="Arial"/>
          <w:bCs/>
          <w:lang w:val="es-ES"/>
        </w:rPr>
        <w:t xml:space="preserve"> de noviembre de dos mil veinte, en cumplimiento a lo ordenado en el proveído dictado en la fecha en que se actúa, en el expediente al rubro indicado, con fundamento en lo dispuesto por los artículos 50, fracción II, 52 y 56, fracción II de la Ley de Medios de Impugnación en Materia Electoral del Estado de Querétaro, el Encargado de despacho de la Secretaría Ejecutiva </w:t>
      </w:r>
      <w:r>
        <w:rPr>
          <w:rFonts w:ascii="Gothic720 BT" w:hAnsi="Gothic720 BT" w:cs="Arial"/>
          <w:b/>
          <w:bCs/>
          <w:lang w:val="es-ES"/>
        </w:rPr>
        <w:t>NOTIFICA</w:t>
      </w:r>
      <w:r>
        <w:rPr>
          <w:rFonts w:ascii="Gothic720 BT" w:hAnsi="Gothic720 BT" w:cs="Arial"/>
          <w:bCs/>
          <w:lang w:val="es-ES"/>
        </w:rPr>
        <w:t xml:space="preserve">, mediante cédula que se fija en los </w:t>
      </w:r>
      <w:r>
        <w:rPr>
          <w:rFonts w:ascii="Gothic720 BT" w:hAnsi="Gothic720 BT" w:cs="Arial"/>
          <w:b/>
          <w:bCs/>
          <w:lang w:val="es-ES"/>
        </w:rPr>
        <w:t>ESTRADOS</w:t>
      </w:r>
      <w:r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emitido el día en que se actúa en el expediente </w:t>
      </w:r>
      <w:r>
        <w:rPr>
          <w:rFonts w:ascii="Gothic720 BT" w:hAnsi="Gothic720 BT" w:cs="Arial"/>
          <w:lang w:eastAsia="es-ES"/>
        </w:rPr>
        <w:t xml:space="preserve">IEEQ/AG/019/2014-P </w:t>
      </w:r>
      <w:r>
        <w:rPr>
          <w:rFonts w:ascii="Gothic720 BT" w:hAnsi="Gothic720 BT" w:cs="Arial"/>
          <w:bCs/>
          <w:lang w:val="es-ES"/>
        </w:rPr>
        <w:t xml:space="preserve">relativo al Partido del Trabajo. Documento que consta de dos fojas útiles con texto por un solo lado, anexando copia del mismo. </w:t>
      </w:r>
      <w:r>
        <w:rPr>
          <w:rFonts w:ascii="Gothic720 BT" w:hAnsi="Gothic720 BT" w:cs="Arial"/>
          <w:b/>
          <w:bCs/>
          <w:lang w:val="es-ES"/>
        </w:rPr>
        <w:t xml:space="preserve">DOY FE. </w:t>
      </w:r>
      <w:r>
        <w:rPr>
          <w:rFonts w:ascii="Gothic720 BT" w:hAnsi="Gothic720 BT" w:cs="Arial"/>
          <w:bCs/>
          <w:lang w:val="es-ES"/>
        </w:rPr>
        <w:t>--------------</w:t>
      </w:r>
    </w:p>
    <w:p w:rsidR="00EE643D" w:rsidRDefault="00EE643D" w:rsidP="00EE643D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EE643D" w:rsidRDefault="00EE643D" w:rsidP="00EE643D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EE643D" w:rsidRDefault="00EE643D" w:rsidP="00EE643D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EE643D" w:rsidRDefault="00EE643D" w:rsidP="00EE643D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:rsidR="00EE643D" w:rsidRDefault="00EE643D" w:rsidP="00EE643D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 xml:space="preserve">Encargado de despacho de la Secretaría Ejecutiva </w:t>
      </w:r>
    </w:p>
    <w:p w:rsidR="00EE643D" w:rsidRDefault="00EE643D" w:rsidP="00EE643D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EE643D" w:rsidRDefault="00EE643D" w:rsidP="00340E49">
      <w:pPr>
        <w:spacing w:after="0" w:line="240" w:lineRule="auto"/>
        <w:ind w:left="3686"/>
        <w:jc w:val="both"/>
        <w:rPr>
          <w:rFonts w:ascii="Gothic720 BT" w:hAnsi="Gothic720 BT" w:cs="Arial"/>
          <w:b/>
          <w:lang w:eastAsia="es-ES"/>
        </w:rPr>
      </w:pPr>
    </w:p>
    <w:p w:rsidR="00340E49" w:rsidRDefault="00340E49" w:rsidP="00340E49">
      <w:pPr>
        <w:spacing w:after="0" w:line="240" w:lineRule="auto"/>
        <w:ind w:left="3686"/>
        <w:jc w:val="both"/>
        <w:rPr>
          <w:rFonts w:ascii="Gothic720 BT" w:hAnsi="Gothic720 BT" w:cs="Arial"/>
          <w:lang w:eastAsia="es-ES"/>
        </w:rPr>
      </w:pPr>
      <w:r>
        <w:rPr>
          <w:rFonts w:ascii="Gothic720 BT" w:hAnsi="Gothic720 BT" w:cs="Arial"/>
          <w:b/>
          <w:lang w:eastAsia="es-ES"/>
        </w:rPr>
        <w:lastRenderedPageBreak/>
        <w:t>EXPEDIENTE:</w:t>
      </w:r>
      <w:r>
        <w:rPr>
          <w:rFonts w:ascii="Gothic720 BT" w:hAnsi="Gothic720 BT" w:cs="Arial"/>
          <w:lang w:eastAsia="es-ES"/>
        </w:rPr>
        <w:t xml:space="preserve"> IEEQ/AG/019/2014-P. </w:t>
      </w:r>
    </w:p>
    <w:p w:rsidR="00340E49" w:rsidRDefault="00340E49" w:rsidP="00340E49">
      <w:pPr>
        <w:spacing w:before="100" w:beforeAutospacing="1" w:after="100" w:afterAutospacing="1" w:line="240" w:lineRule="auto"/>
        <w:ind w:left="3686" w:right="49"/>
        <w:jc w:val="both"/>
        <w:rPr>
          <w:rFonts w:ascii="Gothic720 BT" w:hAnsi="Gothic720 BT" w:cs="Arial"/>
          <w:lang w:eastAsia="es-ES"/>
        </w:rPr>
      </w:pPr>
      <w:r>
        <w:rPr>
          <w:rFonts w:ascii="Gothic720 BT" w:hAnsi="Gothic720 BT" w:cs="Arial"/>
          <w:b/>
          <w:lang w:eastAsia="es-ES"/>
        </w:rPr>
        <w:t>PROMOVENTE</w:t>
      </w:r>
      <w:r>
        <w:rPr>
          <w:rFonts w:ascii="Gothic720 BT" w:hAnsi="Gothic720 BT" w:cs="Arial"/>
          <w:lang w:eastAsia="es-ES"/>
        </w:rPr>
        <w:t>: INSTITUTO NACIONAL ELECTORAL, A TRAVÉS DE LA UNIDAD TÉCNICA DE VINCULACIÓN CON LOS ORGANISMOS PÚBLICOS LOCALES.</w:t>
      </w:r>
    </w:p>
    <w:p w:rsidR="00340E49" w:rsidRDefault="00340E49" w:rsidP="00340E49">
      <w:pPr>
        <w:spacing w:before="100" w:beforeAutospacing="1" w:after="0" w:line="240" w:lineRule="auto"/>
        <w:ind w:left="3686"/>
        <w:jc w:val="both"/>
        <w:rPr>
          <w:rFonts w:ascii="Gothic720 BT" w:hAnsi="Gothic720 BT" w:cs="Arial"/>
          <w:lang w:eastAsia="es-ES"/>
        </w:rPr>
      </w:pPr>
      <w:r>
        <w:rPr>
          <w:rFonts w:ascii="Gothic720 BT" w:hAnsi="Gothic720 BT" w:cs="Arial"/>
          <w:b/>
          <w:lang w:eastAsia="es-ES"/>
        </w:rPr>
        <w:t xml:space="preserve">ASUNTO: </w:t>
      </w:r>
      <w:bookmarkStart w:id="0" w:name="_GoBack"/>
      <w:r>
        <w:rPr>
          <w:rFonts w:ascii="Gothic720 BT" w:hAnsi="Gothic720 BT" w:cs="Arial"/>
          <w:lang w:eastAsia="es-ES"/>
        </w:rPr>
        <w:t xml:space="preserve">SE ORDENA </w:t>
      </w:r>
      <w:r w:rsidR="0013459B">
        <w:rPr>
          <w:rFonts w:ascii="Gothic720 BT" w:hAnsi="Gothic720 BT" w:cs="Arial"/>
          <w:lang w:eastAsia="es-ES"/>
        </w:rPr>
        <w:t>AGREGAR DOCUMENTACIÓN EMITIDA POR EL INSTITUTO NACIONAL ELECTORAL Y VISTA.</w:t>
      </w:r>
    </w:p>
    <w:bookmarkEnd w:id="0"/>
    <w:p w:rsidR="00340E49" w:rsidRDefault="00340E49" w:rsidP="00340E49">
      <w:pPr>
        <w:pStyle w:val="Default"/>
        <w:spacing w:before="100" w:beforeAutospacing="1" w:after="100" w:afterAutospacing="1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 xml:space="preserve">Santiago de Querétaro, Querétaro, </w:t>
      </w:r>
      <w:r w:rsidR="006074BD">
        <w:rPr>
          <w:rFonts w:ascii="Gothic720 BT" w:hAnsi="Gothic720 BT" w:cs="Arial"/>
          <w:bCs/>
          <w:color w:val="auto"/>
          <w:sz w:val="22"/>
          <w:szCs w:val="22"/>
        </w:rPr>
        <w:t>dieciocho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de 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>noviembre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de dos mil veinte.</w:t>
      </w: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VISTO </w:t>
      </w:r>
      <w:r>
        <w:rPr>
          <w:rFonts w:ascii="Gothic720 BT" w:hAnsi="Gothic720 BT" w:cs="Arial"/>
          <w:bCs/>
          <w:color w:val="auto"/>
          <w:sz w:val="22"/>
          <w:szCs w:val="22"/>
        </w:rPr>
        <w:t>la notificación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 xml:space="preserve"> recibida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el 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 xml:space="preserve">nueve 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de 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 xml:space="preserve">noviembre </w:t>
      </w:r>
      <w:r>
        <w:rPr>
          <w:rFonts w:ascii="Gothic720 BT" w:hAnsi="Gothic720 BT" w:cs="Arial"/>
          <w:bCs/>
          <w:color w:val="auto"/>
          <w:sz w:val="22"/>
          <w:szCs w:val="22"/>
        </w:rPr>
        <w:t>de dos mil veinte, a través del Sistema de Vinculación con los Organismos Públicos Locales del Instituto Nacional Electoral (SIVOPLE),</w:t>
      </w:r>
      <w:r>
        <w:rPr>
          <w:rStyle w:val="Refdenotaalpie"/>
          <w:rFonts w:ascii="Gothic720 BT" w:hAnsi="Gothic720 BT" w:cs="Arial"/>
          <w:bCs/>
          <w:color w:val="auto"/>
          <w:sz w:val="22"/>
          <w:szCs w:val="22"/>
        </w:rPr>
        <w:footnoteReference w:id="1"/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mediante 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>la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cual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 xml:space="preserve"> en alcance a la circular INE/UTVOPL/092/2020, el Instituto Nacional Electoral </w:t>
      </w:r>
      <w:r>
        <w:rPr>
          <w:rFonts w:ascii="Gothic720 BT" w:hAnsi="Gothic720 BT" w:cs="Arial"/>
          <w:bCs/>
          <w:color w:val="auto"/>
          <w:sz w:val="22"/>
          <w:szCs w:val="22"/>
        </w:rPr>
        <w:t>remiti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>ó dos certificaciones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 vinculadas con la </w:t>
      </w:r>
      <w:r w:rsidR="0013459B">
        <w:rPr>
          <w:rFonts w:ascii="Gothic720 BT" w:hAnsi="Gothic720 BT" w:cs="Arial"/>
          <w:bCs/>
          <w:color w:val="auto"/>
          <w:sz w:val="22"/>
          <w:szCs w:val="22"/>
        </w:rPr>
        <w:t>actualización y renovación de Comités Ejecutivos Estatales y responsable de finanzas del Partido del Trabajo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; con fundamento en el artículo 63, fracciones I y XXXI de la Ley Electoral del Estado de Querétaro,  el Secretario Ejecutivo </w:t>
      </w:r>
      <w:r>
        <w:rPr>
          <w:rFonts w:ascii="Gothic720 BT" w:hAnsi="Gothic720 BT" w:cs="Arial"/>
          <w:b/>
          <w:color w:val="auto"/>
          <w:sz w:val="22"/>
          <w:szCs w:val="22"/>
        </w:rPr>
        <w:t>ACUERDA:</w:t>
      </w: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14"/>
          <w:szCs w:val="22"/>
        </w:rPr>
      </w:pP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>PRIMERO. Se ordena agregar</w:t>
      </w:r>
      <w:r>
        <w:rPr>
          <w:rFonts w:ascii="Gothic720 BT" w:hAnsi="Gothic720 BT" w:cs="Arial"/>
          <w:color w:val="auto"/>
          <w:sz w:val="22"/>
          <w:szCs w:val="22"/>
        </w:rPr>
        <w:t xml:space="preserve">. Se tienen por recibidos los documentos de cuenta, mismos que constan </w:t>
      </w:r>
      <w:r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en un total de </w:t>
      </w:r>
      <w:r w:rsidR="0013459B">
        <w:rPr>
          <w:rFonts w:ascii="Gothic720 BT" w:hAnsi="Gothic720 BT"/>
          <w:color w:val="212121"/>
          <w:sz w:val="22"/>
          <w:szCs w:val="22"/>
          <w:shd w:val="clear" w:color="auto" w:fill="FFFFFF"/>
        </w:rPr>
        <w:t>seis</w:t>
      </w:r>
      <w:r>
        <w:rPr>
          <w:rFonts w:ascii="Gothic720 BT" w:hAnsi="Gothic720 BT"/>
          <w:color w:val="212121"/>
          <w:sz w:val="22"/>
          <w:szCs w:val="22"/>
          <w:shd w:val="clear" w:color="auto" w:fill="FFFFFF"/>
        </w:rPr>
        <w:t xml:space="preserve"> fojas útiles</w:t>
      </w:r>
      <w:r w:rsidR="0013459B">
        <w:rPr>
          <w:rFonts w:ascii="Gothic720 BT" w:hAnsi="Gothic720 BT"/>
          <w:color w:val="212121"/>
          <w:sz w:val="22"/>
          <w:szCs w:val="22"/>
          <w:shd w:val="clear" w:color="auto" w:fill="FFFFFF"/>
        </w:rPr>
        <w:t>, de las cuales una consta con texto por un solo lado y cinco constan con texto por ambos lados</w:t>
      </w:r>
      <w:r>
        <w:rPr>
          <w:rFonts w:ascii="Gothic720 BT" w:hAnsi="Gothic720 BT" w:cs="Arial"/>
          <w:color w:val="auto"/>
          <w:sz w:val="22"/>
          <w:szCs w:val="22"/>
        </w:rPr>
        <w:t xml:space="preserve">, </w:t>
      </w:r>
      <w:r w:rsidR="0013459B">
        <w:rPr>
          <w:rFonts w:ascii="Gothic720 BT" w:hAnsi="Gothic720 BT" w:cs="Arial"/>
          <w:color w:val="auto"/>
          <w:sz w:val="22"/>
          <w:szCs w:val="22"/>
        </w:rPr>
        <w:t>mismos que</w:t>
      </w:r>
      <w:r>
        <w:rPr>
          <w:rFonts w:ascii="Gothic720 BT" w:hAnsi="Gothic720 BT" w:cs="Arial"/>
          <w:color w:val="auto"/>
          <w:sz w:val="22"/>
          <w:szCs w:val="22"/>
        </w:rPr>
        <w:t xml:space="preserve"> se ordena agregar en autos para los efectos conducentes. </w:t>
      </w: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b/>
          <w:color w:val="auto"/>
          <w:sz w:val="14"/>
          <w:szCs w:val="22"/>
        </w:rPr>
      </w:pP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color w:val="auto"/>
          <w:sz w:val="22"/>
          <w:szCs w:val="22"/>
        </w:rPr>
        <w:t xml:space="preserve">SEGUNDO. Vista. </w:t>
      </w:r>
      <w:r>
        <w:rPr>
          <w:rFonts w:ascii="Gothic720 BT" w:hAnsi="Gothic720 BT" w:cs="Arial"/>
          <w:color w:val="auto"/>
          <w:sz w:val="22"/>
          <w:szCs w:val="22"/>
        </w:rPr>
        <w:t>De los documentos de cuenta se advierte que el Instituto Nacional Electoral remitió los documentos siguientes</w:t>
      </w:r>
      <w:r>
        <w:rPr>
          <w:rFonts w:ascii="Gothic720 BT" w:hAnsi="Gothic720 BT" w:cs="Arial"/>
          <w:bCs/>
          <w:color w:val="auto"/>
          <w:sz w:val="22"/>
          <w:szCs w:val="22"/>
        </w:rPr>
        <w:t>:</w:t>
      </w: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bCs/>
          <w:color w:val="auto"/>
          <w:sz w:val="14"/>
          <w:szCs w:val="22"/>
        </w:rPr>
      </w:pPr>
    </w:p>
    <w:p w:rsidR="00EE643D" w:rsidRDefault="00EE643D" w:rsidP="00EE643D">
      <w:pPr>
        <w:pStyle w:val="Default"/>
        <w:numPr>
          <w:ilvl w:val="0"/>
          <w:numId w:val="1"/>
        </w:numPr>
        <w:spacing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 xml:space="preserve">Certificación en la que consta el registro de la Comisionada Política Nacional de Asuntos Electorales del Partido del Trabajo. </w:t>
      </w:r>
    </w:p>
    <w:p w:rsidR="00340E49" w:rsidRPr="00EE643D" w:rsidRDefault="00EE643D" w:rsidP="00131F7C">
      <w:pPr>
        <w:pStyle w:val="Default"/>
        <w:numPr>
          <w:ilvl w:val="0"/>
          <w:numId w:val="1"/>
        </w:numPr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 w:rsidRPr="00EE643D">
        <w:rPr>
          <w:rFonts w:ascii="Gothic720 BT" w:hAnsi="Gothic720 BT" w:cs="Arial"/>
          <w:bCs/>
          <w:color w:val="auto"/>
          <w:sz w:val="22"/>
          <w:szCs w:val="22"/>
        </w:rPr>
        <w:t xml:space="preserve">Certificación de las personas registradas como Tesoreros Estatales del Partido del Trabajo en Querétaro. </w:t>
      </w:r>
    </w:p>
    <w:p w:rsidR="00EE643D" w:rsidRPr="00EE643D" w:rsidRDefault="00EE643D" w:rsidP="00EE643D">
      <w:pPr>
        <w:pStyle w:val="Default"/>
        <w:spacing w:line="276" w:lineRule="auto"/>
        <w:ind w:left="786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color w:val="auto"/>
          <w:sz w:val="22"/>
          <w:szCs w:val="22"/>
        </w:rPr>
        <w:t xml:space="preserve">En consecuencia, toda vez que la información de cuenta corresponde a  asuntos de interés para </w:t>
      </w:r>
      <w:r w:rsidR="00EE643D">
        <w:rPr>
          <w:rFonts w:ascii="Gothic720 BT" w:hAnsi="Gothic720 BT" w:cs="Arial"/>
          <w:color w:val="auto"/>
          <w:sz w:val="22"/>
          <w:szCs w:val="22"/>
        </w:rPr>
        <w:t>el citado partido</w:t>
      </w:r>
      <w:r>
        <w:rPr>
          <w:rFonts w:ascii="Gothic720 BT" w:hAnsi="Gothic720 BT" w:cs="Arial"/>
          <w:color w:val="auto"/>
          <w:sz w:val="22"/>
          <w:szCs w:val="22"/>
        </w:rPr>
        <w:t xml:space="preserve"> político</w:t>
      </w:r>
      <w:r w:rsidR="00EE643D">
        <w:rPr>
          <w:rFonts w:ascii="Gothic720 BT" w:hAnsi="Gothic720 BT" w:cs="Arial"/>
          <w:color w:val="auto"/>
          <w:sz w:val="22"/>
          <w:szCs w:val="22"/>
        </w:rPr>
        <w:t xml:space="preserve"> nacional</w:t>
      </w:r>
      <w:r>
        <w:rPr>
          <w:rFonts w:ascii="Gothic720 BT" w:hAnsi="Gothic720 BT" w:cs="Arial"/>
          <w:color w:val="auto"/>
          <w:sz w:val="22"/>
          <w:szCs w:val="22"/>
        </w:rPr>
        <w:t xml:space="preserve">, se da </w:t>
      </w:r>
      <w:r>
        <w:rPr>
          <w:rFonts w:ascii="Gothic720 BT" w:hAnsi="Gothic720 BT" w:cs="Arial"/>
          <w:b/>
          <w:color w:val="auto"/>
          <w:sz w:val="22"/>
          <w:szCs w:val="22"/>
        </w:rPr>
        <w:t>VISTA</w:t>
      </w:r>
      <w:r>
        <w:rPr>
          <w:rFonts w:ascii="Gothic720 BT" w:hAnsi="Gothic720 BT" w:cs="Arial"/>
          <w:color w:val="auto"/>
          <w:sz w:val="22"/>
          <w:szCs w:val="22"/>
        </w:rPr>
        <w:t xml:space="preserve"> al Partido del Trabajo, a través de su representación ante el Consejo General, a efecto de que manifieste lo que a su interés convenga con relación a la citada información y en su caso, remita a este organismo la </w:t>
      </w:r>
      <w:r>
        <w:rPr>
          <w:rFonts w:ascii="Gothic720 BT" w:hAnsi="Gothic720 BT" w:cs="Arial"/>
          <w:b/>
          <w:color w:val="auto"/>
          <w:sz w:val="22"/>
          <w:szCs w:val="22"/>
        </w:rPr>
        <w:t>certificación actualizada emitida por el Instituto Nacional Electoral</w:t>
      </w:r>
      <w:r>
        <w:rPr>
          <w:rFonts w:ascii="Gothic720 BT" w:hAnsi="Gothic720 BT" w:cs="Arial"/>
          <w:color w:val="auto"/>
          <w:sz w:val="22"/>
          <w:szCs w:val="22"/>
        </w:rPr>
        <w:t xml:space="preserve"> respecto a la estructura de su partido.</w:t>
      </w:r>
      <w:r>
        <w:rPr>
          <w:rStyle w:val="Refdenotaalpie"/>
          <w:rFonts w:ascii="Gothic720 BT" w:hAnsi="Gothic720 BT" w:cs="Arial"/>
          <w:color w:val="auto"/>
          <w:sz w:val="22"/>
          <w:szCs w:val="22"/>
        </w:rPr>
        <w:footnoteReference w:id="2"/>
      </w:r>
      <w:r>
        <w:rPr>
          <w:rFonts w:ascii="Gothic720 BT" w:hAnsi="Gothic720 BT" w:cs="Arial"/>
          <w:color w:val="auto"/>
          <w:sz w:val="22"/>
          <w:szCs w:val="22"/>
        </w:rPr>
        <w:t xml:space="preserve"> </w:t>
      </w: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EE643D" w:rsidRDefault="00EE643D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EE643D" w:rsidRDefault="00EE643D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9B3F71" w:rsidRDefault="009B3F71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9B3F71" w:rsidRDefault="009B3F71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9B3F71" w:rsidRDefault="009B3F71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9B3F71" w:rsidRDefault="009B3F71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</w:p>
    <w:p w:rsidR="00340E49" w:rsidRDefault="00340E49" w:rsidP="00340E49">
      <w:pPr>
        <w:pStyle w:val="Default"/>
        <w:spacing w:line="276" w:lineRule="auto"/>
        <w:jc w:val="both"/>
        <w:rPr>
          <w:rFonts w:ascii="Gothic720 BT" w:hAnsi="Gothic720 BT" w:cs="Arial"/>
          <w:color w:val="auto"/>
          <w:sz w:val="22"/>
          <w:szCs w:val="22"/>
        </w:rPr>
      </w:pPr>
      <w:r>
        <w:rPr>
          <w:rFonts w:ascii="Gothic720 BT" w:hAnsi="Gothic720 BT" w:cs="Arial"/>
          <w:color w:val="auto"/>
          <w:sz w:val="22"/>
          <w:szCs w:val="22"/>
        </w:rPr>
        <w:t xml:space="preserve">Para efectos de lo anterior, se deberá remitir </w:t>
      </w:r>
      <w:r w:rsidR="00EE643D">
        <w:rPr>
          <w:rFonts w:ascii="Gothic720 BT" w:hAnsi="Gothic720 BT" w:cs="Arial"/>
          <w:color w:val="auto"/>
          <w:sz w:val="22"/>
          <w:szCs w:val="22"/>
        </w:rPr>
        <w:t>mediante oficio</w:t>
      </w:r>
      <w:r>
        <w:rPr>
          <w:rFonts w:ascii="Gothic720 BT" w:hAnsi="Gothic720 BT" w:cs="Arial"/>
          <w:color w:val="auto"/>
          <w:sz w:val="22"/>
          <w:szCs w:val="22"/>
        </w:rPr>
        <w:t>, copia de la presente determinación</w:t>
      </w:r>
      <w:r w:rsidR="00EE643D">
        <w:rPr>
          <w:rFonts w:ascii="Gothic720 BT" w:hAnsi="Gothic720 BT" w:cs="Arial"/>
          <w:color w:val="auto"/>
          <w:sz w:val="22"/>
          <w:szCs w:val="22"/>
        </w:rPr>
        <w:t xml:space="preserve"> y de las referidas certificaciones</w:t>
      </w:r>
      <w:r>
        <w:rPr>
          <w:rFonts w:ascii="Gothic720 BT" w:hAnsi="Gothic720 BT" w:cs="Arial"/>
          <w:color w:val="auto"/>
          <w:sz w:val="22"/>
          <w:szCs w:val="22"/>
        </w:rPr>
        <w:t xml:space="preserve">.    </w:t>
      </w:r>
    </w:p>
    <w:p w:rsidR="00340E49" w:rsidRDefault="00340E49" w:rsidP="00340E49">
      <w:pPr>
        <w:spacing w:before="100" w:beforeAutospacing="1" w:after="100" w:afterAutospacing="1"/>
        <w:jc w:val="both"/>
        <w:rPr>
          <w:rFonts w:ascii="Gothic720 BT" w:hAnsi="Gothic720 BT" w:cs="Arial"/>
          <w:b/>
          <w:bCs/>
        </w:rPr>
      </w:pPr>
      <w:r>
        <w:rPr>
          <w:rFonts w:ascii="Gothic720 BT" w:hAnsi="Gothic720 BT" w:cs="Arial"/>
          <w:b/>
          <w:lang w:val="es-ES"/>
        </w:rPr>
        <w:t>N</w:t>
      </w:r>
      <w:r>
        <w:rPr>
          <w:rFonts w:ascii="Gothic720 BT" w:hAnsi="Gothic720 BT" w:cs="Arial"/>
          <w:b/>
        </w:rPr>
        <w:t xml:space="preserve">otifíquese por estrados del Consejo General del Instituto Electoral del Estado de Querétaro, con fundamento en los artículos 50, fracción II, 52 y 56, fracción II de la Ley de Medios de Impugnación en Materia Electoral del Estado de Querétaro. </w:t>
      </w:r>
    </w:p>
    <w:p w:rsidR="00340E49" w:rsidRDefault="00340E49" w:rsidP="00340E49">
      <w:pPr>
        <w:pStyle w:val="Default"/>
        <w:spacing w:before="100" w:beforeAutospacing="1" w:after="100" w:afterAutospacing="1" w:line="276" w:lineRule="auto"/>
        <w:jc w:val="both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 xml:space="preserve">Así lo proveyó y firmó el Encargado de Despacho de la Secretaría Ejecutiva del </w:t>
      </w:r>
      <w:r>
        <w:rPr>
          <w:rFonts w:ascii="Gothic720 BT" w:hAnsi="Gothic720 BT" w:cs="Arial"/>
          <w:color w:val="auto"/>
          <w:sz w:val="22"/>
          <w:szCs w:val="22"/>
        </w:rPr>
        <w:t>Instituto Electoral del Estado de Querétaro</w:t>
      </w:r>
      <w:r>
        <w:rPr>
          <w:rFonts w:ascii="Gothic720 BT" w:hAnsi="Gothic720 BT" w:cs="Arial"/>
          <w:bCs/>
          <w:color w:val="auto"/>
          <w:sz w:val="22"/>
          <w:szCs w:val="22"/>
        </w:rPr>
        <w:t xml:space="preserve">, quien autoriza. </w:t>
      </w:r>
      <w:r>
        <w:rPr>
          <w:rFonts w:ascii="Gothic720 BT" w:hAnsi="Gothic720 BT" w:cs="Arial"/>
          <w:b/>
          <w:bCs/>
          <w:color w:val="auto"/>
          <w:sz w:val="22"/>
          <w:szCs w:val="22"/>
        </w:rPr>
        <w:t>DOY FE.</w:t>
      </w:r>
    </w:p>
    <w:p w:rsidR="00340E49" w:rsidRDefault="00340E49" w:rsidP="00340E49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340E49" w:rsidRDefault="00340E49" w:rsidP="00340E49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340E49" w:rsidRDefault="00340E49" w:rsidP="00340E49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340E49" w:rsidRDefault="00340E49" w:rsidP="00340E49">
      <w:pPr>
        <w:pStyle w:val="Default"/>
        <w:spacing w:line="276" w:lineRule="auto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Mtro. Carlos Alejandro Pérez Espíndola</w:t>
      </w:r>
    </w:p>
    <w:p w:rsidR="00340E49" w:rsidRDefault="00340E49" w:rsidP="00340E49">
      <w:pPr>
        <w:pStyle w:val="Default"/>
        <w:spacing w:line="276" w:lineRule="auto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 xml:space="preserve">Encargado de despacho de la Secretaría Ejecutiva </w:t>
      </w:r>
    </w:p>
    <w:p w:rsidR="0087522E" w:rsidRPr="00563A25" w:rsidRDefault="0087522E">
      <w:pPr>
        <w:rPr>
          <w:rFonts w:ascii="Gothic720 BT" w:hAnsi="Gothic720 BT" w:cs="Arial"/>
          <w:b/>
          <w:lang w:eastAsia="es-ES"/>
        </w:rPr>
      </w:pPr>
    </w:p>
    <w:sectPr w:rsidR="0087522E" w:rsidRPr="00563A25" w:rsidSect="00C325BC">
      <w:pgSz w:w="12240" w:h="15840"/>
      <w:pgMar w:top="851" w:right="1701" w:bottom="1843" w:left="1701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68" w:rsidRDefault="00592E68" w:rsidP="00340E49">
      <w:pPr>
        <w:spacing w:after="0" w:line="240" w:lineRule="auto"/>
      </w:pPr>
      <w:r>
        <w:separator/>
      </w:r>
    </w:p>
  </w:endnote>
  <w:endnote w:type="continuationSeparator" w:id="0">
    <w:p w:rsidR="00592E68" w:rsidRDefault="00592E68" w:rsidP="0034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68" w:rsidRDefault="00592E68" w:rsidP="00340E49">
      <w:pPr>
        <w:spacing w:after="0" w:line="240" w:lineRule="auto"/>
      </w:pPr>
      <w:r>
        <w:separator/>
      </w:r>
    </w:p>
  </w:footnote>
  <w:footnote w:type="continuationSeparator" w:id="0">
    <w:p w:rsidR="00592E68" w:rsidRDefault="00592E68" w:rsidP="00340E49">
      <w:pPr>
        <w:spacing w:after="0" w:line="240" w:lineRule="auto"/>
      </w:pPr>
      <w:r>
        <w:continuationSeparator/>
      </w:r>
    </w:p>
  </w:footnote>
  <w:footnote w:id="1">
    <w:p w:rsidR="00340E49" w:rsidRDefault="00340E49" w:rsidP="00EE643D">
      <w:pPr>
        <w:pStyle w:val="Textonotapie"/>
        <w:jc w:val="both"/>
        <w:rPr>
          <w:rFonts w:ascii="Gothic720 BT" w:hAnsi="Gothic720 BT"/>
          <w:sz w:val="16"/>
          <w:szCs w:val="16"/>
        </w:rPr>
      </w:pPr>
      <w:r>
        <w:rPr>
          <w:rStyle w:val="Refdenotaalpie"/>
          <w:rFonts w:ascii="Gothic720 BT" w:hAnsi="Gothic720 BT"/>
          <w:sz w:val="16"/>
          <w:szCs w:val="16"/>
        </w:rPr>
        <w:footnoteRef/>
      </w:r>
      <w:r>
        <w:rPr>
          <w:rFonts w:ascii="Gothic720 BT" w:hAnsi="Gothic720 BT"/>
          <w:sz w:val="16"/>
          <w:szCs w:val="16"/>
        </w:rPr>
        <w:t xml:space="preserve"> En atención a la instrucción del Consejero Presidente del Instituto Nacional Electoral emitida en la sesión del treinta de septiembre del año en curso, dentro del punto del orden del día relativo a Asuntos Generales, en los que se acordó girar instrucciones a la Dirección Ejecutiva de Prerrogativas y Partidos Políticos y a la Unidad Técnica de Vinculación con los Organismos Públicos Locales para que se haga del conocimiento la documentación de cuenta.        </w:t>
      </w:r>
    </w:p>
  </w:footnote>
  <w:footnote w:id="2">
    <w:p w:rsidR="00340E49" w:rsidRDefault="00340E49" w:rsidP="00EE643D">
      <w:pPr>
        <w:tabs>
          <w:tab w:val="left" w:pos="567"/>
        </w:tabs>
        <w:spacing w:after="0" w:line="240" w:lineRule="auto"/>
        <w:ind w:right="-1"/>
        <w:jc w:val="both"/>
        <w:rPr>
          <w:rFonts w:ascii="Gothic720 BT" w:hAnsi="Gothic720 BT"/>
          <w:sz w:val="16"/>
          <w:szCs w:val="16"/>
        </w:rPr>
      </w:pPr>
      <w:r>
        <w:rPr>
          <w:rStyle w:val="Refdenotaalpie"/>
          <w:rFonts w:ascii="Gothic720 BT" w:hAnsi="Gothic720 BT"/>
          <w:sz w:val="16"/>
          <w:szCs w:val="16"/>
        </w:rPr>
        <w:footnoteRef/>
      </w:r>
      <w:r>
        <w:rPr>
          <w:rFonts w:ascii="Gothic720 BT" w:hAnsi="Gothic720 BT"/>
          <w:sz w:val="16"/>
          <w:szCs w:val="16"/>
        </w:rPr>
        <w:t xml:space="preserve"> Es necesario precisar, que a efecto de que este Instituto tenga por acreditado el cambio de dirigencia de los partidos políticos se requiere contar con la certificación emitida por el Instituto Nacional Electoral, en atención a las competencias conferidas a dicha autoridad nacional en los artículos 55, párrafo 1, inciso i) de la Ley General de Instituciones y Procedimientos Electorales, con relación con los artículos 25, párrafo 1, incisos f) y l), 43 de la Ley General de Partidos Políticos; así como los artículos 1 y 19 del Reglamento sobre modificaciones a Documentos Básicos, Registro de integrantes de órganos directivos y cambio de domicilio de Agrupaciones Políticas y Partidos Políticos Nacionales; así como respecto al registro de Reglamentos internos de estos últimos y la acreditación de sus representantes ante los Consejos del Instituto Nacional Electoral.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0CD9"/>
    <w:multiLevelType w:val="hybridMultilevel"/>
    <w:tmpl w:val="BF826D2C"/>
    <w:lvl w:ilvl="0" w:tplc="54B661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73"/>
    <w:rsid w:val="0013459B"/>
    <w:rsid w:val="001443D8"/>
    <w:rsid w:val="001F551F"/>
    <w:rsid w:val="00340E49"/>
    <w:rsid w:val="003A2109"/>
    <w:rsid w:val="00560B73"/>
    <w:rsid w:val="00563A25"/>
    <w:rsid w:val="00592E68"/>
    <w:rsid w:val="006074BD"/>
    <w:rsid w:val="00810033"/>
    <w:rsid w:val="0087522E"/>
    <w:rsid w:val="009B3F71"/>
    <w:rsid w:val="00B30A16"/>
    <w:rsid w:val="00C325BC"/>
    <w:rsid w:val="00ED4185"/>
    <w:rsid w:val="00EE643D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CE1F"/>
  <w15:chartTrackingRefBased/>
  <w15:docId w15:val="{7CD1EA22-5EDF-4CC0-95D5-4FFD2518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40E4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E4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0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0E4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F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10</cp:revision>
  <cp:lastPrinted>2020-11-18T22:28:00Z</cp:lastPrinted>
  <dcterms:created xsi:type="dcterms:W3CDTF">2020-11-17T17:36:00Z</dcterms:created>
  <dcterms:modified xsi:type="dcterms:W3CDTF">2020-11-19T00:36:00Z</dcterms:modified>
</cp:coreProperties>
</file>