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67" w:rsidRPr="007D7650" w:rsidRDefault="001E2167" w:rsidP="001E2167">
      <w:pPr>
        <w:framePr w:h="2326" w:hRule="exact" w:hSpace="141" w:wrap="around" w:vAnchor="page" w:hAnchor="page" w:x="2470" w:y="1051"/>
        <w:ind w:left="4678"/>
        <w:rPr>
          <w:rFonts w:ascii="Gothic720 BT" w:hAnsi="Gothic720 BT"/>
        </w:rPr>
      </w:pPr>
      <w:r w:rsidRPr="007D7650">
        <w:rPr>
          <w:rFonts w:ascii="Gothic720 BT" w:hAnsi="Gothic720 BT"/>
          <w:b/>
        </w:rPr>
        <w:t>EXPEDIENTE:</w:t>
      </w:r>
      <w:r w:rsidRPr="007D7650">
        <w:rPr>
          <w:rFonts w:ascii="Gothic720 BT" w:hAnsi="Gothic720 BT"/>
        </w:rPr>
        <w:t xml:space="preserve"> IEEQ/AG/005/2020-P.</w:t>
      </w:r>
    </w:p>
    <w:p w:rsidR="001E2167" w:rsidRPr="007D7650" w:rsidRDefault="001E2167" w:rsidP="001E2167">
      <w:pPr>
        <w:framePr w:h="2326" w:hRule="exact" w:hSpace="141" w:wrap="around" w:vAnchor="page" w:hAnchor="page" w:x="2470" w:y="1051"/>
        <w:ind w:left="4678"/>
        <w:rPr>
          <w:rFonts w:ascii="Gothic720 BT" w:hAnsi="Gothic720 BT" w:cs="Arial"/>
          <w:lang w:eastAsia="es-MX"/>
        </w:rPr>
      </w:pPr>
      <w:r w:rsidRPr="007D7650">
        <w:rPr>
          <w:rFonts w:ascii="Gothic720 BT" w:hAnsi="Gothic720 BT" w:cs="Arial"/>
          <w:b/>
          <w:lang w:eastAsia="es-MX"/>
        </w:rPr>
        <w:t>PROMOVENTE</w:t>
      </w:r>
      <w:r w:rsidRPr="007D7650">
        <w:rPr>
          <w:rFonts w:ascii="Gothic720 BT" w:hAnsi="Gothic720 BT" w:cs="Arial"/>
          <w:lang w:eastAsia="es-MX"/>
        </w:rPr>
        <w:t>: FUERZA SOCIAL POR MÉXICO.</w:t>
      </w:r>
    </w:p>
    <w:p w:rsidR="001E2167" w:rsidRPr="008D6491" w:rsidRDefault="001E2167" w:rsidP="001E2167">
      <w:pPr>
        <w:framePr w:h="2326" w:hRule="exact" w:hSpace="141" w:wrap="around" w:vAnchor="page" w:hAnchor="page" w:x="2470" w:y="1051"/>
        <w:ind w:left="4678"/>
        <w:rPr>
          <w:rFonts w:ascii="Gothic720 BT" w:hAnsi="Gothic720 BT"/>
          <w:b/>
          <w:sz w:val="12"/>
        </w:rPr>
      </w:pPr>
      <w:r w:rsidRPr="007D7650">
        <w:rPr>
          <w:rFonts w:ascii="Gothic720 BT" w:hAnsi="Gothic720 BT"/>
          <w:b/>
        </w:rPr>
        <w:t>ASUNTO:</w:t>
      </w:r>
      <w:r w:rsidRPr="007D7650">
        <w:rPr>
          <w:rFonts w:ascii="Gothic720 BT" w:hAnsi="Gothic720 BT"/>
        </w:rPr>
        <w:t xml:space="preserve"> </w:t>
      </w:r>
      <w:r>
        <w:rPr>
          <w:rFonts w:ascii="Gothic720 BT" w:hAnsi="Gothic720 BT"/>
        </w:rPr>
        <w:t>SE ORDENA AGREGAR, RESERVA Y CONSULTA</w:t>
      </w:r>
      <w:r>
        <w:rPr>
          <w:rFonts w:ascii="Gothic720 BT" w:hAnsi="Gothic720 BT"/>
        </w:rPr>
        <w:t>.</w:t>
      </w:r>
    </w:p>
    <w:p w:rsidR="001E2167" w:rsidRDefault="001E2167" w:rsidP="001E2167">
      <w:pPr>
        <w:pStyle w:val="Default"/>
        <w:spacing w:line="276" w:lineRule="auto"/>
        <w:ind w:right="-235"/>
        <w:jc w:val="both"/>
        <w:rPr>
          <w:rFonts w:ascii="Gothic720 BT" w:hAnsi="Gothic720 BT" w:cs="Arial"/>
          <w:bCs/>
          <w:color w:val="auto"/>
          <w:sz w:val="22"/>
          <w:szCs w:val="22"/>
          <w:lang w:val="es-MX"/>
        </w:rPr>
      </w:pPr>
    </w:p>
    <w:p w:rsidR="001E2167" w:rsidRPr="001E2167" w:rsidRDefault="001E2167" w:rsidP="001E2167">
      <w:pPr>
        <w:pStyle w:val="Default"/>
        <w:spacing w:line="276" w:lineRule="auto"/>
        <w:ind w:right="-235"/>
        <w:jc w:val="both"/>
        <w:rPr>
          <w:rFonts w:ascii="Gothic720 BT" w:hAnsi="Gothic720 BT" w:cs="Arial"/>
          <w:bCs/>
          <w:color w:val="auto"/>
          <w:sz w:val="10"/>
          <w:szCs w:val="22"/>
          <w:lang w:val="es-MX"/>
        </w:rPr>
      </w:pPr>
    </w:p>
    <w:p w:rsidR="001E2167" w:rsidRDefault="001E2167" w:rsidP="001E2167">
      <w:pPr>
        <w:pStyle w:val="Default"/>
        <w:spacing w:line="276" w:lineRule="auto"/>
        <w:ind w:right="-235"/>
        <w:jc w:val="both"/>
        <w:rPr>
          <w:rFonts w:ascii="Gothic720 BT" w:hAnsi="Gothic720 BT" w:cs="Arial"/>
          <w:bCs/>
          <w:color w:val="auto"/>
          <w:sz w:val="22"/>
          <w:szCs w:val="22"/>
          <w:lang w:val="es-MX"/>
        </w:rPr>
      </w:pPr>
    </w:p>
    <w:p w:rsidR="001E2167" w:rsidRPr="007D7650" w:rsidRDefault="001E2167" w:rsidP="001E2167">
      <w:pPr>
        <w:pStyle w:val="Default"/>
        <w:spacing w:line="276" w:lineRule="auto"/>
        <w:ind w:right="-235"/>
        <w:jc w:val="both"/>
        <w:rPr>
          <w:rFonts w:ascii="Gothic720 BT" w:hAnsi="Gothic720 BT" w:cs="Arial"/>
          <w:bCs/>
          <w:color w:val="auto"/>
          <w:sz w:val="22"/>
          <w:szCs w:val="22"/>
          <w:lang w:val="es-MX"/>
        </w:rPr>
      </w:pPr>
      <w:r w:rsidRPr="007D7650">
        <w:rPr>
          <w:rFonts w:ascii="Gothic720 BT" w:hAnsi="Gothic720 BT" w:cs="Arial"/>
          <w:bCs/>
          <w:color w:val="auto"/>
          <w:sz w:val="22"/>
          <w:szCs w:val="22"/>
          <w:lang w:val="es-MX"/>
        </w:rPr>
        <w:t xml:space="preserve">En la ciudad de Santiago de Querétaro, Querétaro, </w:t>
      </w:r>
      <w:r>
        <w:rPr>
          <w:rFonts w:ascii="Gothic720 BT" w:hAnsi="Gothic720 BT"/>
          <w:lang w:eastAsia="es-MX"/>
        </w:rPr>
        <w:t>once</w:t>
      </w:r>
      <w:r w:rsidRPr="007D7650">
        <w:rPr>
          <w:rFonts w:ascii="Gothic720 BT" w:hAnsi="Gothic720 BT"/>
          <w:lang w:eastAsia="es-MX"/>
        </w:rPr>
        <w:t xml:space="preserve"> </w:t>
      </w:r>
      <w:r w:rsidRPr="007D7650">
        <w:rPr>
          <w:rFonts w:ascii="Gothic720 BT" w:hAnsi="Gothic720 BT" w:cs="Arial"/>
          <w:bCs/>
          <w:color w:val="auto"/>
          <w:sz w:val="22"/>
          <w:szCs w:val="22"/>
          <w:lang w:val="es-MX"/>
        </w:rPr>
        <w:t xml:space="preserve">de </w:t>
      </w:r>
      <w:r>
        <w:rPr>
          <w:rFonts w:ascii="Gothic720 BT" w:hAnsi="Gothic720 BT" w:cs="Arial"/>
          <w:bCs/>
          <w:color w:val="auto"/>
          <w:sz w:val="22"/>
          <w:szCs w:val="22"/>
          <w:lang w:val="es-MX"/>
        </w:rPr>
        <w:t>diciembre</w:t>
      </w:r>
      <w:r w:rsidRPr="007D7650">
        <w:rPr>
          <w:rFonts w:ascii="Gothic720 BT" w:hAnsi="Gothic720 BT" w:cs="Arial"/>
          <w:bCs/>
          <w:color w:val="auto"/>
          <w:sz w:val="22"/>
          <w:szCs w:val="22"/>
          <w:lang w:val="es-MX"/>
        </w:rPr>
        <w:t xml:space="preserv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sidRPr="007D7650">
        <w:rPr>
          <w:rFonts w:ascii="Gothic720 BT" w:hAnsi="Gothic720 BT" w:cs="Arial"/>
          <w:b/>
          <w:bCs/>
          <w:color w:val="auto"/>
          <w:sz w:val="22"/>
          <w:szCs w:val="22"/>
          <w:lang w:val="es-MX"/>
        </w:rPr>
        <w:t>NOTIFICA</w:t>
      </w:r>
      <w:r w:rsidRPr="007D7650">
        <w:rPr>
          <w:rFonts w:ascii="Gothic720 BT" w:hAnsi="Gothic720 BT" w:cs="Arial"/>
          <w:bCs/>
          <w:color w:val="auto"/>
          <w:sz w:val="22"/>
          <w:szCs w:val="22"/>
          <w:lang w:val="es-MX"/>
        </w:rPr>
        <w:t xml:space="preserve"> mediante cédula que se fija en los </w:t>
      </w:r>
      <w:r w:rsidRPr="007D7650">
        <w:rPr>
          <w:rFonts w:ascii="Gothic720 BT" w:hAnsi="Gothic720 BT" w:cs="Arial"/>
          <w:b/>
          <w:bCs/>
          <w:color w:val="auto"/>
          <w:sz w:val="22"/>
          <w:szCs w:val="22"/>
          <w:lang w:val="es-MX"/>
        </w:rPr>
        <w:t>ESTRADOS</w:t>
      </w:r>
      <w:r w:rsidRPr="007D7650">
        <w:rPr>
          <w:rFonts w:ascii="Gothic720 BT" w:hAnsi="Gothic720 BT" w:cs="Arial"/>
          <w:bCs/>
          <w:color w:val="auto"/>
          <w:sz w:val="22"/>
          <w:szCs w:val="22"/>
          <w:lang w:val="es-MX"/>
        </w:rPr>
        <w:t xml:space="preserve"> del Consejo General el contenido del proveído de mérito, mismo que consta en </w:t>
      </w:r>
      <w:r>
        <w:rPr>
          <w:rFonts w:ascii="Gothic720 BT" w:hAnsi="Gothic720 BT" w:cs="Arial"/>
          <w:bCs/>
          <w:color w:val="auto"/>
          <w:sz w:val="22"/>
          <w:szCs w:val="22"/>
          <w:lang w:val="es-MX"/>
        </w:rPr>
        <w:t>dos</w:t>
      </w:r>
      <w:r w:rsidRPr="007D7650">
        <w:rPr>
          <w:rFonts w:ascii="Gothic720 BT" w:hAnsi="Gothic720 BT" w:cs="Arial"/>
          <w:bCs/>
          <w:color w:val="auto"/>
          <w:sz w:val="22"/>
          <w:szCs w:val="22"/>
          <w:lang w:val="es-MX"/>
        </w:rPr>
        <w:t xml:space="preserve"> fojas útiles con texto por un solo lado, anexando copia de dicha determinación. </w:t>
      </w:r>
      <w:r w:rsidRPr="007D7650">
        <w:rPr>
          <w:rFonts w:ascii="Gothic720 BT" w:hAnsi="Gothic720 BT" w:cs="Arial"/>
          <w:b/>
          <w:bCs/>
          <w:color w:val="auto"/>
          <w:sz w:val="22"/>
          <w:szCs w:val="22"/>
          <w:lang w:val="es-MX"/>
        </w:rPr>
        <w:t>DOY FE</w:t>
      </w:r>
      <w:r w:rsidRPr="007D7650">
        <w:rPr>
          <w:rFonts w:ascii="Gothic720 BT" w:hAnsi="Gothic720 BT" w:cs="Arial"/>
          <w:bCs/>
          <w:color w:val="auto"/>
          <w:sz w:val="22"/>
          <w:szCs w:val="22"/>
          <w:lang w:val="es-MX"/>
        </w:rPr>
        <w:t>. -----------------</w:t>
      </w:r>
      <w:r>
        <w:rPr>
          <w:rFonts w:ascii="Gothic720 BT" w:hAnsi="Gothic720 BT" w:cs="Arial"/>
          <w:bCs/>
          <w:color w:val="auto"/>
          <w:sz w:val="22"/>
          <w:szCs w:val="22"/>
          <w:lang w:val="es-MX"/>
        </w:rPr>
        <w:t>-------------------------------------------------------------------------------------------------------------</w:t>
      </w:r>
      <w:r w:rsidRPr="007D7650">
        <w:rPr>
          <w:rFonts w:ascii="Gothic720 BT" w:hAnsi="Gothic720 BT" w:cs="Arial"/>
          <w:bCs/>
          <w:color w:val="auto"/>
          <w:sz w:val="22"/>
          <w:szCs w:val="22"/>
          <w:lang w:val="es-MX"/>
        </w:rPr>
        <w:t>-----</w:t>
      </w:r>
    </w:p>
    <w:p w:rsidR="001E2167" w:rsidRPr="007D7650" w:rsidRDefault="001E2167" w:rsidP="001E2167">
      <w:pPr>
        <w:spacing w:after="0" w:line="276" w:lineRule="auto"/>
        <w:ind w:left="284" w:right="-235"/>
        <w:jc w:val="center"/>
        <w:rPr>
          <w:rFonts w:ascii="Gothic720 BT" w:hAnsi="Gothic720 BT" w:cs="Arial"/>
          <w:b/>
          <w:lang w:val="es-ES" w:eastAsia="es-ES"/>
        </w:rPr>
      </w:pPr>
    </w:p>
    <w:p w:rsidR="001E2167" w:rsidRPr="007D7650" w:rsidRDefault="001E2167" w:rsidP="001E2167">
      <w:pPr>
        <w:spacing w:after="0" w:line="276" w:lineRule="auto"/>
        <w:ind w:left="284" w:right="-235"/>
        <w:jc w:val="center"/>
        <w:rPr>
          <w:rFonts w:ascii="Gothic720 BT" w:hAnsi="Gothic720 BT" w:cs="Arial"/>
          <w:b/>
          <w:lang w:val="es-ES" w:eastAsia="es-ES"/>
        </w:rPr>
      </w:pPr>
    </w:p>
    <w:p w:rsidR="001E2167" w:rsidRPr="007D7650" w:rsidRDefault="001E2167" w:rsidP="001E2167">
      <w:pPr>
        <w:spacing w:after="0" w:line="276" w:lineRule="auto"/>
        <w:ind w:left="284" w:right="-235"/>
        <w:jc w:val="center"/>
        <w:rPr>
          <w:rFonts w:ascii="Gothic720 BT" w:hAnsi="Gothic720 BT" w:cs="Arial"/>
          <w:b/>
          <w:lang w:val="es-ES" w:eastAsia="es-ES"/>
        </w:rPr>
      </w:pPr>
    </w:p>
    <w:p w:rsidR="001E2167" w:rsidRPr="007D7650" w:rsidRDefault="001E2167" w:rsidP="001E2167">
      <w:pPr>
        <w:tabs>
          <w:tab w:val="left" w:pos="709"/>
          <w:tab w:val="left" w:pos="851"/>
          <w:tab w:val="left" w:pos="993"/>
          <w:tab w:val="left" w:pos="8789"/>
        </w:tabs>
        <w:ind w:left="-284" w:right="-235"/>
        <w:jc w:val="both"/>
        <w:rPr>
          <w:rFonts w:ascii="Gothic720 BT" w:hAnsi="Gothic720 BT" w:cs="Arial"/>
          <w:b/>
          <w:color w:val="000000"/>
        </w:rPr>
      </w:pPr>
    </w:p>
    <w:p w:rsidR="001E2167" w:rsidRPr="007D7650" w:rsidRDefault="001E2167" w:rsidP="001E2167">
      <w:pPr>
        <w:pStyle w:val="Prrafodelista"/>
        <w:ind w:left="0" w:right="-235"/>
        <w:jc w:val="center"/>
        <w:rPr>
          <w:rFonts w:ascii="Gothic720 BT" w:hAnsi="Gothic720 BT" w:cs="Arial"/>
          <w:sz w:val="22"/>
          <w:szCs w:val="22"/>
          <w:lang w:val="es-MX"/>
        </w:rPr>
      </w:pPr>
      <w:r w:rsidRPr="007D7650">
        <w:rPr>
          <w:rFonts w:ascii="Gothic720 BT" w:hAnsi="Gothic720 BT" w:cs="Arial"/>
          <w:b/>
          <w:sz w:val="22"/>
          <w:szCs w:val="22"/>
          <w:lang w:val="es-MX"/>
        </w:rPr>
        <w:t>Mtro. Carlos Alejandro Pérez Espíndola</w:t>
      </w:r>
    </w:p>
    <w:p w:rsidR="001E2167" w:rsidRPr="007D7650" w:rsidRDefault="001E2167" w:rsidP="001E2167">
      <w:pPr>
        <w:pStyle w:val="Prrafodelista"/>
        <w:spacing w:line="276" w:lineRule="auto"/>
        <w:ind w:left="0" w:right="-235"/>
        <w:jc w:val="center"/>
        <w:rPr>
          <w:rFonts w:ascii="Gothic720 BT" w:hAnsi="Gothic720 BT" w:cs="Arial"/>
          <w:color w:val="000000"/>
        </w:rPr>
      </w:pPr>
      <w:r>
        <w:rPr>
          <w:rFonts w:ascii="Gothic720 BT" w:hAnsi="Gothic720 BT" w:cs="Arial"/>
          <w:sz w:val="22"/>
          <w:szCs w:val="22"/>
          <w:lang w:val="es-MX"/>
        </w:rPr>
        <w:t xml:space="preserve">Encargado de Despacho de la </w:t>
      </w:r>
      <w:r w:rsidRPr="007D7650">
        <w:rPr>
          <w:rFonts w:ascii="Gothic720 BT" w:hAnsi="Gothic720 BT" w:cs="Arial"/>
          <w:sz w:val="22"/>
          <w:szCs w:val="22"/>
          <w:lang w:val="es-MX"/>
        </w:rPr>
        <w:t>Secretar</w:t>
      </w:r>
      <w:r>
        <w:rPr>
          <w:rFonts w:ascii="Gothic720 BT" w:hAnsi="Gothic720 BT" w:cs="Arial"/>
          <w:sz w:val="22"/>
          <w:szCs w:val="22"/>
          <w:lang w:val="es-MX"/>
        </w:rPr>
        <w:t>ía Ejecutiva</w:t>
      </w:r>
    </w:p>
    <w:p w:rsidR="001E2167" w:rsidRPr="007D7650" w:rsidRDefault="001E2167" w:rsidP="001E2167">
      <w:pPr>
        <w:ind w:left="993" w:right="-235"/>
        <w:jc w:val="both"/>
        <w:rPr>
          <w:rFonts w:ascii="Gothic720 BT" w:eastAsia="Times New Roman" w:hAnsi="Gothic720 BT" w:cs="Arial"/>
          <w:color w:val="000000"/>
          <w:lang w:eastAsia="es-ES"/>
        </w:rPr>
      </w:pPr>
    </w:p>
    <w:p w:rsidR="00FD6220" w:rsidRPr="007D7650" w:rsidRDefault="00FD6220" w:rsidP="00FD6220">
      <w:pPr>
        <w:spacing w:after="0" w:line="276" w:lineRule="auto"/>
        <w:ind w:right="-235"/>
        <w:rPr>
          <w:rFonts w:ascii="Gothic720 BT" w:hAnsi="Gothic720 BT"/>
          <w:sz w:val="20"/>
          <w:lang w:eastAsia="es-MX"/>
        </w:rPr>
      </w:pPr>
    </w:p>
    <w:p w:rsidR="001E2167" w:rsidRPr="008D6491" w:rsidRDefault="001E2167" w:rsidP="001E2167">
      <w:pPr>
        <w:framePr w:hSpace="141" w:wrap="around" w:vAnchor="page" w:hAnchor="margin" w:xAlign="right" w:y="2671"/>
        <w:ind w:left="746"/>
        <w:jc w:val="both"/>
        <w:rPr>
          <w:rFonts w:ascii="Gothic720 BT" w:hAnsi="Gothic720 BT"/>
          <w:b/>
          <w:sz w:val="12"/>
        </w:rPr>
      </w:pPr>
    </w:p>
    <w:p w:rsidR="00FD6220" w:rsidRDefault="00FD6220"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Default="001E2167" w:rsidP="001E2167">
      <w:pPr>
        <w:spacing w:after="0" w:line="276" w:lineRule="auto"/>
        <w:ind w:right="-235"/>
        <w:rPr>
          <w:rFonts w:ascii="Gothic720 BT" w:hAnsi="Gothic720 BT"/>
          <w:sz w:val="20"/>
          <w:lang w:eastAsia="es-MX"/>
        </w:rPr>
      </w:pPr>
    </w:p>
    <w:p w:rsidR="001E2167" w:rsidRPr="007D7650" w:rsidRDefault="001E2167" w:rsidP="001E2167">
      <w:pPr>
        <w:spacing w:after="0" w:line="276" w:lineRule="auto"/>
        <w:ind w:right="-235"/>
        <w:rPr>
          <w:rFonts w:ascii="Gothic720 BT" w:hAnsi="Gothic720 BT"/>
          <w:sz w:val="20"/>
          <w:lang w:eastAsia="es-MX"/>
        </w:rPr>
      </w:pP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1E2167" w:rsidRPr="007D7650" w:rsidTr="00BD078B">
        <w:trPr>
          <w:trHeight w:val="939"/>
        </w:trPr>
        <w:tc>
          <w:tcPr>
            <w:tcW w:w="6052" w:type="dxa"/>
          </w:tcPr>
          <w:p w:rsidR="001E2167" w:rsidRPr="007D7650" w:rsidRDefault="001E2167" w:rsidP="00BD078B">
            <w:pPr>
              <w:ind w:left="746"/>
              <w:jc w:val="both"/>
              <w:rPr>
                <w:rFonts w:ascii="Gothic720 BT" w:hAnsi="Gothic720 BT"/>
              </w:rPr>
            </w:pPr>
            <w:r w:rsidRPr="007D7650">
              <w:rPr>
                <w:rFonts w:ascii="Gothic720 BT" w:hAnsi="Gothic720 BT"/>
                <w:b/>
              </w:rPr>
              <w:t>EXPEDIENTE:</w:t>
            </w:r>
            <w:r w:rsidRPr="007D7650">
              <w:rPr>
                <w:rFonts w:ascii="Gothic720 BT" w:hAnsi="Gothic720 BT"/>
              </w:rPr>
              <w:t xml:space="preserve"> IEEQ/AG/005/2020-P.</w:t>
            </w:r>
          </w:p>
          <w:p w:rsidR="001E2167" w:rsidRPr="008D6491" w:rsidRDefault="001E2167" w:rsidP="00BD078B">
            <w:pPr>
              <w:ind w:left="746"/>
              <w:jc w:val="both"/>
              <w:rPr>
                <w:rFonts w:ascii="Gothic720 BT" w:hAnsi="Gothic720 BT"/>
                <w:sz w:val="16"/>
              </w:rPr>
            </w:pPr>
          </w:p>
          <w:p w:rsidR="001E2167" w:rsidRPr="007D7650" w:rsidRDefault="001E2167" w:rsidP="00BD078B">
            <w:pPr>
              <w:ind w:left="746"/>
              <w:jc w:val="both"/>
              <w:rPr>
                <w:rFonts w:ascii="Gothic720 BT" w:hAnsi="Gothic720 BT" w:cs="Arial"/>
                <w:lang w:eastAsia="es-MX"/>
              </w:rPr>
            </w:pPr>
            <w:r w:rsidRPr="007D7650">
              <w:rPr>
                <w:rFonts w:ascii="Gothic720 BT" w:hAnsi="Gothic720 BT" w:cs="Arial"/>
                <w:b/>
                <w:lang w:eastAsia="es-MX"/>
              </w:rPr>
              <w:t>PROMOVENTE</w:t>
            </w:r>
            <w:r w:rsidRPr="007D7650">
              <w:rPr>
                <w:rFonts w:ascii="Gothic720 BT" w:hAnsi="Gothic720 BT" w:cs="Arial"/>
                <w:lang w:eastAsia="es-MX"/>
              </w:rPr>
              <w:t>: FUERZA SOCIAL POR MÉXICO.</w:t>
            </w:r>
          </w:p>
          <w:p w:rsidR="001E2167" w:rsidRPr="008D6491" w:rsidRDefault="001E2167" w:rsidP="00BD078B">
            <w:pPr>
              <w:ind w:left="746"/>
              <w:jc w:val="both"/>
              <w:rPr>
                <w:rFonts w:ascii="Gothic720 BT" w:hAnsi="Gothic720 BT"/>
                <w:b/>
                <w:sz w:val="12"/>
              </w:rPr>
            </w:pPr>
          </w:p>
          <w:p w:rsidR="001E2167" w:rsidRPr="007D7650" w:rsidRDefault="001E2167" w:rsidP="00BD078B">
            <w:pPr>
              <w:ind w:left="746"/>
              <w:jc w:val="both"/>
              <w:rPr>
                <w:rFonts w:ascii="Gothic720 BT" w:hAnsi="Gothic720 BT"/>
                <w:sz w:val="20"/>
              </w:rPr>
            </w:pPr>
            <w:r w:rsidRPr="007D7650">
              <w:rPr>
                <w:rFonts w:ascii="Gothic720 BT" w:hAnsi="Gothic720 BT"/>
                <w:b/>
              </w:rPr>
              <w:t>ASUNTO:</w:t>
            </w:r>
            <w:r w:rsidRPr="007D7650">
              <w:rPr>
                <w:rFonts w:ascii="Gothic720 BT" w:hAnsi="Gothic720 BT"/>
              </w:rPr>
              <w:t xml:space="preserve"> </w:t>
            </w:r>
            <w:r>
              <w:rPr>
                <w:rFonts w:ascii="Gothic720 BT" w:hAnsi="Gothic720 BT"/>
              </w:rPr>
              <w:t>SE ORDENA AGREGAR, RESERVA Y CONSULTA</w:t>
            </w:r>
            <w:r w:rsidRPr="007D7650">
              <w:rPr>
                <w:rFonts w:ascii="Gothic720 BT" w:hAnsi="Gothic720 BT"/>
              </w:rPr>
              <w:t>.</w:t>
            </w:r>
          </w:p>
        </w:tc>
      </w:tr>
    </w:tbl>
    <w:tbl>
      <w:tblPr>
        <w:tblStyle w:val="Tablaconcuadrcula"/>
        <w:tblpPr w:leftFromText="141" w:rightFromText="141" w:vertAnchor="page" w:horzAnchor="margin" w:tblpXSpec="right" w:tblpY="2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1E2167" w:rsidRPr="007D7650" w:rsidTr="00BD078B">
        <w:trPr>
          <w:trHeight w:val="939"/>
        </w:trPr>
        <w:tc>
          <w:tcPr>
            <w:tcW w:w="6052" w:type="dxa"/>
          </w:tcPr>
          <w:p w:rsidR="001E2167" w:rsidRPr="007D7650" w:rsidRDefault="001E2167" w:rsidP="00BD078B">
            <w:pPr>
              <w:ind w:left="746"/>
              <w:jc w:val="both"/>
              <w:rPr>
                <w:rFonts w:ascii="Gothic720 BT" w:hAnsi="Gothic720 BT"/>
                <w:sz w:val="20"/>
              </w:rPr>
            </w:pPr>
          </w:p>
        </w:tc>
      </w:tr>
    </w:tbl>
    <w:p w:rsidR="00FD6220" w:rsidRPr="007D7650" w:rsidRDefault="00FD6220" w:rsidP="00FD6220">
      <w:pPr>
        <w:spacing w:after="0" w:line="276" w:lineRule="auto"/>
        <w:ind w:right="-235"/>
        <w:rPr>
          <w:rFonts w:ascii="Gothic720 BT" w:hAnsi="Gothic720 BT"/>
          <w:sz w:val="20"/>
          <w:lang w:eastAsia="es-MX"/>
        </w:rPr>
      </w:pPr>
    </w:p>
    <w:p w:rsidR="00FD6220" w:rsidRPr="007D7650" w:rsidRDefault="00FD6220" w:rsidP="00FD6220">
      <w:pPr>
        <w:spacing w:after="0" w:line="276" w:lineRule="auto"/>
        <w:ind w:right="-235"/>
        <w:rPr>
          <w:rFonts w:ascii="Gothic720 BT" w:hAnsi="Gothic720 BT"/>
          <w:sz w:val="20"/>
          <w:lang w:eastAsia="es-MX"/>
        </w:rPr>
      </w:pPr>
    </w:p>
    <w:p w:rsidR="00FD6220" w:rsidRPr="007D7650" w:rsidRDefault="00FD6220" w:rsidP="00FD6220">
      <w:pPr>
        <w:spacing w:after="0" w:line="276" w:lineRule="auto"/>
        <w:ind w:right="-235"/>
        <w:rPr>
          <w:rFonts w:ascii="Gothic720 BT" w:hAnsi="Gothic720 BT"/>
          <w:sz w:val="12"/>
          <w:lang w:eastAsia="es-MX"/>
        </w:rPr>
      </w:pPr>
    </w:p>
    <w:p w:rsidR="00FD6220" w:rsidRPr="008D6491" w:rsidRDefault="00FD6220" w:rsidP="00FD6220">
      <w:pPr>
        <w:spacing w:after="0" w:line="276" w:lineRule="auto"/>
        <w:ind w:right="-235"/>
        <w:rPr>
          <w:rFonts w:ascii="Gothic720 BT" w:hAnsi="Gothic720 BT"/>
          <w:sz w:val="4"/>
          <w:lang w:eastAsia="es-MX"/>
        </w:rPr>
      </w:pPr>
    </w:p>
    <w:p w:rsidR="009965A0" w:rsidRDefault="009965A0" w:rsidP="00FD6220">
      <w:pPr>
        <w:spacing w:after="0" w:line="276" w:lineRule="auto"/>
        <w:ind w:right="-235"/>
        <w:rPr>
          <w:rFonts w:ascii="Gothic720 BT" w:hAnsi="Gothic720 BT"/>
          <w:lang w:eastAsia="es-MX"/>
        </w:rPr>
      </w:pPr>
    </w:p>
    <w:p w:rsidR="001E2167" w:rsidRDefault="001E2167" w:rsidP="00FD6220">
      <w:pPr>
        <w:spacing w:after="0" w:line="276" w:lineRule="auto"/>
        <w:ind w:right="-235"/>
        <w:rPr>
          <w:rFonts w:ascii="Gothic720 BT" w:hAnsi="Gothic720 BT"/>
          <w:lang w:eastAsia="es-MX"/>
        </w:rPr>
      </w:pPr>
    </w:p>
    <w:p w:rsidR="001E2167" w:rsidRDefault="001E2167" w:rsidP="00FD6220">
      <w:pPr>
        <w:spacing w:after="0" w:line="276" w:lineRule="auto"/>
        <w:ind w:right="-235"/>
        <w:rPr>
          <w:rFonts w:ascii="Gothic720 BT" w:hAnsi="Gothic720 BT"/>
          <w:lang w:eastAsia="es-MX"/>
        </w:rPr>
      </w:pPr>
    </w:p>
    <w:p w:rsidR="001E2167" w:rsidRDefault="001E2167" w:rsidP="00FD6220">
      <w:pPr>
        <w:spacing w:after="0" w:line="276" w:lineRule="auto"/>
        <w:ind w:right="-235"/>
        <w:rPr>
          <w:rFonts w:ascii="Gothic720 BT" w:hAnsi="Gothic720 BT"/>
          <w:lang w:eastAsia="es-MX"/>
        </w:rPr>
      </w:pPr>
    </w:p>
    <w:p w:rsidR="00FD6220" w:rsidRPr="007D7650" w:rsidRDefault="00FD6220" w:rsidP="00FD6220">
      <w:pPr>
        <w:spacing w:after="0" w:line="276" w:lineRule="auto"/>
        <w:ind w:right="-235"/>
        <w:rPr>
          <w:rFonts w:ascii="Gothic720 BT" w:hAnsi="Gothic720 BT"/>
          <w:lang w:eastAsia="es-MX"/>
        </w:rPr>
      </w:pPr>
      <w:r w:rsidRPr="007D7650">
        <w:rPr>
          <w:rFonts w:ascii="Gothic720 BT" w:hAnsi="Gothic720 BT"/>
          <w:lang w:eastAsia="es-MX"/>
        </w:rPr>
        <w:t xml:space="preserve">Santiago de Querétaro, Querétaro, </w:t>
      </w:r>
      <w:r w:rsidR="009965A0">
        <w:rPr>
          <w:rFonts w:ascii="Gothic720 BT" w:hAnsi="Gothic720 BT"/>
          <w:lang w:eastAsia="es-MX"/>
        </w:rPr>
        <w:t>once</w:t>
      </w:r>
      <w:r w:rsidRPr="007D7650">
        <w:rPr>
          <w:rFonts w:ascii="Gothic720 BT" w:hAnsi="Gothic720 BT"/>
          <w:lang w:eastAsia="es-MX"/>
        </w:rPr>
        <w:t xml:space="preserve"> de diciembre de dos mil veinte.</w:t>
      </w:r>
    </w:p>
    <w:p w:rsidR="00FD6220" w:rsidRPr="009965A0" w:rsidRDefault="00FD6220" w:rsidP="00FD6220">
      <w:pPr>
        <w:spacing w:after="0" w:line="276" w:lineRule="auto"/>
        <w:ind w:right="-235"/>
        <w:jc w:val="both"/>
        <w:rPr>
          <w:rFonts w:ascii="Gothic720 BT" w:hAnsi="Gothic720 BT"/>
          <w:sz w:val="10"/>
          <w:szCs w:val="16"/>
          <w:lang w:eastAsia="es-MX"/>
        </w:rPr>
      </w:pPr>
    </w:p>
    <w:p w:rsidR="00FD6220" w:rsidRPr="00B409A8" w:rsidRDefault="00FD6220" w:rsidP="00FD6220">
      <w:pPr>
        <w:spacing w:after="0" w:line="276" w:lineRule="auto"/>
        <w:ind w:right="-235"/>
        <w:jc w:val="both"/>
        <w:rPr>
          <w:rFonts w:ascii="Gothic720 BT" w:hAnsi="Gothic720 BT"/>
        </w:rPr>
      </w:pPr>
      <w:r w:rsidRPr="007D7650">
        <w:rPr>
          <w:rFonts w:ascii="Gothic720 BT" w:hAnsi="Gothic720 BT"/>
          <w:b/>
        </w:rPr>
        <w:t>VIST</w:t>
      </w:r>
      <w:r>
        <w:rPr>
          <w:rFonts w:ascii="Gothic720 BT" w:hAnsi="Gothic720 BT"/>
          <w:b/>
        </w:rPr>
        <w:t>AS</w:t>
      </w:r>
      <w:r>
        <w:rPr>
          <w:rFonts w:ascii="Gothic720 BT" w:hAnsi="Gothic720 BT"/>
        </w:rPr>
        <w:t xml:space="preserve"> las notificaciones</w:t>
      </w:r>
      <w:r w:rsidRPr="007D7650">
        <w:rPr>
          <w:rFonts w:ascii="Gothic720 BT" w:hAnsi="Gothic720 BT"/>
        </w:rPr>
        <w:t xml:space="preserve"> electrónica</w:t>
      </w:r>
      <w:r>
        <w:rPr>
          <w:rFonts w:ascii="Gothic720 BT" w:hAnsi="Gothic720 BT"/>
        </w:rPr>
        <w:t>s</w:t>
      </w:r>
      <w:r w:rsidRPr="007D7650">
        <w:rPr>
          <w:rFonts w:ascii="Gothic720 BT" w:hAnsi="Gothic720 BT"/>
        </w:rPr>
        <w:t xml:space="preserve"> recibida</w:t>
      </w:r>
      <w:r>
        <w:rPr>
          <w:rFonts w:ascii="Gothic720 BT" w:hAnsi="Gothic720 BT"/>
        </w:rPr>
        <w:t>s</w:t>
      </w:r>
      <w:r w:rsidRPr="007D7650">
        <w:rPr>
          <w:rFonts w:ascii="Gothic720 BT" w:hAnsi="Gothic720 BT"/>
        </w:rPr>
        <w:t xml:space="preserve"> el </w:t>
      </w:r>
      <w:r>
        <w:rPr>
          <w:rFonts w:ascii="Gothic720 BT" w:hAnsi="Gothic720 BT"/>
        </w:rPr>
        <w:t>siete</w:t>
      </w:r>
      <w:r w:rsidRPr="007D7650">
        <w:rPr>
          <w:rFonts w:ascii="Gothic720 BT" w:hAnsi="Gothic720 BT"/>
        </w:rPr>
        <w:t xml:space="preserve"> de </w:t>
      </w:r>
      <w:r>
        <w:rPr>
          <w:rFonts w:ascii="Gothic720 BT" w:hAnsi="Gothic720 BT"/>
        </w:rPr>
        <w:t xml:space="preserve">diciembre </w:t>
      </w:r>
      <w:r w:rsidRPr="007D7650">
        <w:rPr>
          <w:rFonts w:ascii="Gothic720 BT" w:hAnsi="Gothic720 BT"/>
        </w:rPr>
        <w:t>del dos mil veinte</w:t>
      </w:r>
      <w:r w:rsidRPr="007D7650">
        <w:rPr>
          <w:rStyle w:val="Refdenotaalpie"/>
          <w:rFonts w:ascii="Gothic720 BT" w:hAnsi="Gothic720 BT"/>
        </w:rPr>
        <w:footnoteReference w:id="1"/>
      </w:r>
      <w:r w:rsidRPr="007D7650">
        <w:rPr>
          <w:rFonts w:ascii="Gothic720 BT" w:hAnsi="Gothic720 BT"/>
        </w:rPr>
        <w:t xml:space="preserve"> a través del Sistema de Vinculación con los Organismos Públicos Locales (SIVOPLE) </w:t>
      </w:r>
      <w:r w:rsidRPr="00B409A8">
        <w:rPr>
          <w:rFonts w:ascii="Gothic720 BT" w:hAnsi="Gothic720 BT"/>
        </w:rPr>
        <w:t>del Instituto Nacional Electoral,</w:t>
      </w:r>
      <w:r w:rsidRPr="00B409A8">
        <w:rPr>
          <w:rStyle w:val="Refdenotaalpie"/>
          <w:rFonts w:ascii="Gothic720 BT" w:hAnsi="Gothic720 BT"/>
        </w:rPr>
        <w:footnoteReference w:id="2"/>
      </w:r>
      <w:r w:rsidRPr="00B409A8">
        <w:rPr>
          <w:rFonts w:ascii="Gothic720 BT" w:hAnsi="Gothic720 BT"/>
        </w:rPr>
        <w:t xml:space="preserve"> mediante las cuales se recibió la circular INE/UTVOPL/0116/2020 signada por el Director de la Unidad Técnica de Vinculación con los Organismos Públicos Locales, así como el oficio FSXM/0129/2020 singado por César Augusto Díaz Castillo, quien se ostentó como representante legal de Fuerza Social por México y la certificación emitida por la Directora del Secretariado del Instituto Nacional Electoral; con fundamento en lo dispuesto en el artículo 63, fracciones VIII, XIV y XXXI de la Ley Electoral del Estado de Querétaro, </w:t>
      </w:r>
      <w:r w:rsidR="002E3FA1" w:rsidRPr="00B409A8">
        <w:rPr>
          <w:rFonts w:ascii="Gothic720 BT" w:hAnsi="Gothic720 BT"/>
        </w:rPr>
        <w:t xml:space="preserve">el Encargado de Despacho de </w:t>
      </w:r>
      <w:r w:rsidRPr="00B409A8">
        <w:rPr>
          <w:rFonts w:ascii="Gothic720 BT" w:hAnsi="Gothic720 BT"/>
        </w:rPr>
        <w:t xml:space="preserve">la Secretaría Ejecutiva </w:t>
      </w:r>
      <w:r w:rsidRPr="00B409A8">
        <w:rPr>
          <w:rFonts w:ascii="Gothic720 BT" w:hAnsi="Gothic720 BT"/>
          <w:b/>
          <w:color w:val="000000"/>
          <w:lang w:eastAsia="es-MX"/>
        </w:rPr>
        <w:t>ACUERDA:</w:t>
      </w:r>
    </w:p>
    <w:p w:rsidR="00FD6220" w:rsidRPr="00B409A8" w:rsidRDefault="00FD6220" w:rsidP="00FD6220">
      <w:pPr>
        <w:spacing w:after="0" w:line="276" w:lineRule="auto"/>
        <w:ind w:right="-235"/>
        <w:jc w:val="both"/>
        <w:rPr>
          <w:rFonts w:ascii="Gothic720 BT" w:hAnsi="Gothic720 BT"/>
          <w:b/>
          <w:color w:val="000000"/>
          <w:lang w:eastAsia="es-MX"/>
        </w:rPr>
      </w:pPr>
    </w:p>
    <w:p w:rsidR="00FD6220" w:rsidRPr="00B409A8" w:rsidRDefault="00FD6220" w:rsidP="00FD6220">
      <w:pPr>
        <w:spacing w:after="0" w:line="276" w:lineRule="auto"/>
        <w:ind w:right="-235"/>
        <w:jc w:val="both"/>
        <w:rPr>
          <w:rFonts w:ascii="Gothic720 BT" w:hAnsi="Gothic720 BT"/>
        </w:rPr>
      </w:pPr>
      <w:r w:rsidRPr="00B409A8">
        <w:rPr>
          <w:rFonts w:ascii="Gothic720 BT" w:hAnsi="Gothic720 BT"/>
          <w:b/>
        </w:rPr>
        <w:t xml:space="preserve">PRIMERO. Agregar. </w:t>
      </w:r>
      <w:r w:rsidRPr="00B409A8">
        <w:rPr>
          <w:rFonts w:ascii="Gothic720 BT" w:hAnsi="Gothic720 BT"/>
        </w:rPr>
        <w:t xml:space="preserve">Se tienen por recibidos los documentos de cuenta que constan en un total de cinco fojas útiles, mismos que se ordena agregar en autos del expediente indicado al rubro, para los efectos que corresponda.   </w:t>
      </w:r>
    </w:p>
    <w:p w:rsidR="00FD6220" w:rsidRPr="00B409A8" w:rsidRDefault="00FD6220" w:rsidP="00FD6220">
      <w:pPr>
        <w:spacing w:after="0" w:line="276" w:lineRule="auto"/>
        <w:ind w:right="-235"/>
        <w:jc w:val="both"/>
        <w:rPr>
          <w:rFonts w:ascii="Gothic720 BT" w:hAnsi="Gothic720 BT"/>
          <w:b/>
        </w:rPr>
      </w:pPr>
    </w:p>
    <w:p w:rsidR="00FD6220" w:rsidRPr="00B409A8" w:rsidRDefault="00FD6220" w:rsidP="00FD6220">
      <w:pPr>
        <w:spacing w:after="0" w:line="276" w:lineRule="auto"/>
        <w:ind w:right="-235"/>
        <w:jc w:val="both"/>
        <w:rPr>
          <w:rFonts w:ascii="Gothic720 BT" w:hAnsi="Gothic720 BT"/>
          <w:b/>
        </w:rPr>
      </w:pPr>
      <w:r w:rsidRPr="00B409A8">
        <w:rPr>
          <w:rFonts w:ascii="Gothic720 BT" w:hAnsi="Gothic720 BT"/>
          <w:b/>
        </w:rPr>
        <w:t xml:space="preserve">SEGUNDO. Reserva. </w:t>
      </w:r>
    </w:p>
    <w:p w:rsidR="00FD6220" w:rsidRPr="00B409A8" w:rsidRDefault="00FD6220" w:rsidP="00FD6220">
      <w:pPr>
        <w:spacing w:after="0" w:line="240" w:lineRule="auto"/>
        <w:ind w:right="-235"/>
        <w:jc w:val="both"/>
        <w:rPr>
          <w:rFonts w:ascii="Gothic720 BT" w:hAnsi="Gothic720 BT"/>
          <w:b/>
        </w:rPr>
      </w:pPr>
    </w:p>
    <w:p w:rsidR="00746692" w:rsidRPr="00B409A8" w:rsidRDefault="00FD6220" w:rsidP="00FD6220">
      <w:pPr>
        <w:tabs>
          <w:tab w:val="left" w:pos="567"/>
        </w:tabs>
        <w:spacing w:after="0" w:line="276" w:lineRule="auto"/>
        <w:ind w:right="-235"/>
        <w:jc w:val="both"/>
        <w:rPr>
          <w:rFonts w:ascii="Gothic720 BT" w:hAnsi="Gothic720 BT"/>
        </w:rPr>
      </w:pPr>
      <w:r w:rsidRPr="00B409A8">
        <w:rPr>
          <w:rFonts w:ascii="Gothic720 BT" w:hAnsi="Gothic720 BT"/>
        </w:rPr>
        <w:t>1.</w:t>
      </w:r>
      <w:r w:rsidRPr="00B409A8">
        <w:rPr>
          <w:rFonts w:ascii="Gothic720 BT" w:hAnsi="Gothic720 BT"/>
          <w:b/>
        </w:rPr>
        <w:t xml:space="preserve"> </w:t>
      </w:r>
      <w:r w:rsidRPr="00B409A8">
        <w:rPr>
          <w:rFonts w:ascii="Gothic720 BT" w:hAnsi="Gothic720 BT"/>
        </w:rPr>
        <w:t xml:space="preserve">De los documentos de cuenta se advierte que los ciudadanos Luis Antonio </w:t>
      </w:r>
      <w:r w:rsidR="007E5E75" w:rsidRPr="00B409A8">
        <w:rPr>
          <w:rFonts w:ascii="Gothic720 BT" w:hAnsi="Gothic720 BT"/>
        </w:rPr>
        <w:t xml:space="preserve">González Roldan y Ángel Gerardo Islas Maldonado se encuentran acreditados </w:t>
      </w:r>
      <w:r w:rsidRPr="00B409A8">
        <w:rPr>
          <w:rFonts w:ascii="Gothic720 BT" w:hAnsi="Gothic720 BT"/>
        </w:rPr>
        <w:t xml:space="preserve">como representantes </w:t>
      </w:r>
      <w:r w:rsidR="007E5E75" w:rsidRPr="00B409A8">
        <w:rPr>
          <w:rFonts w:ascii="Gothic720 BT" w:hAnsi="Gothic720 BT"/>
        </w:rPr>
        <w:t xml:space="preserve">propietario y suplente </w:t>
      </w:r>
      <w:r w:rsidR="00746692" w:rsidRPr="00B409A8">
        <w:rPr>
          <w:rFonts w:ascii="Gothic720 BT" w:hAnsi="Gothic720 BT"/>
        </w:rPr>
        <w:t xml:space="preserve">del partido político nacional Fuerza Social por México </w:t>
      </w:r>
      <w:r w:rsidRPr="00B409A8">
        <w:rPr>
          <w:rFonts w:ascii="Gothic720 BT" w:hAnsi="Gothic720 BT"/>
        </w:rPr>
        <w:t>ante el Instituto Nacional Electoral</w:t>
      </w:r>
      <w:r w:rsidR="00746692" w:rsidRPr="00B409A8">
        <w:rPr>
          <w:rFonts w:ascii="Gothic720 BT" w:hAnsi="Gothic720 BT"/>
        </w:rPr>
        <w:t>.</w:t>
      </w:r>
    </w:p>
    <w:p w:rsidR="00746692" w:rsidRPr="00B409A8" w:rsidRDefault="00746692" w:rsidP="00FD6220">
      <w:pPr>
        <w:tabs>
          <w:tab w:val="left" w:pos="567"/>
        </w:tabs>
        <w:spacing w:after="0" w:line="276" w:lineRule="auto"/>
        <w:ind w:right="-235"/>
        <w:jc w:val="both"/>
        <w:rPr>
          <w:rFonts w:ascii="Gothic720 BT" w:hAnsi="Gothic720 BT"/>
        </w:rPr>
      </w:pPr>
    </w:p>
    <w:p w:rsidR="006A3329" w:rsidRPr="00B409A8" w:rsidRDefault="006A3329" w:rsidP="006A3329">
      <w:pPr>
        <w:tabs>
          <w:tab w:val="left" w:pos="567"/>
        </w:tabs>
        <w:spacing w:after="0" w:line="276" w:lineRule="auto"/>
        <w:ind w:right="-235"/>
        <w:jc w:val="both"/>
        <w:rPr>
          <w:rFonts w:ascii="Gothic720 BT" w:hAnsi="Gothic720 BT"/>
        </w:rPr>
      </w:pPr>
      <w:r w:rsidRPr="00B409A8">
        <w:rPr>
          <w:rFonts w:ascii="Gothic720 BT" w:hAnsi="Gothic720 BT"/>
        </w:rPr>
        <w:t xml:space="preserve">2. No obstante a ello, esta autoridad </w:t>
      </w:r>
      <w:r w:rsidRPr="00B409A8">
        <w:rPr>
          <w:rFonts w:ascii="Gothic720 BT" w:hAnsi="Gothic720 BT"/>
          <w:b/>
        </w:rPr>
        <w:t>SE RESERVA PROVEER</w:t>
      </w:r>
      <w:r w:rsidRPr="00B409A8">
        <w:rPr>
          <w:rFonts w:ascii="Gothic720 BT" w:hAnsi="Gothic720 BT"/>
        </w:rPr>
        <w:t xml:space="preserve"> respecto a las solicitudes previamente realizadas por los promoventes, particularmente las vinculadas con la acreditación de la representación del referido partido político ante el Consejo General y el informe atinente al método de selección interna de candidaturas. </w:t>
      </w:r>
    </w:p>
    <w:p w:rsidR="006A3329" w:rsidRPr="00B409A8" w:rsidRDefault="006A3329" w:rsidP="006A3329">
      <w:pPr>
        <w:tabs>
          <w:tab w:val="left" w:pos="567"/>
        </w:tabs>
        <w:spacing w:after="0" w:line="276" w:lineRule="auto"/>
        <w:ind w:right="-235"/>
        <w:jc w:val="both"/>
        <w:rPr>
          <w:rFonts w:ascii="Gothic720 BT" w:hAnsi="Gothic720 BT"/>
        </w:rPr>
      </w:pPr>
    </w:p>
    <w:p w:rsidR="006A3329" w:rsidRDefault="006A3329" w:rsidP="006A3329">
      <w:pPr>
        <w:tabs>
          <w:tab w:val="left" w:pos="567"/>
        </w:tabs>
        <w:spacing w:after="0" w:line="276" w:lineRule="auto"/>
        <w:ind w:right="-235"/>
        <w:jc w:val="both"/>
        <w:rPr>
          <w:rFonts w:ascii="Gothic720 BT" w:hAnsi="Gothic720 BT"/>
        </w:rPr>
      </w:pPr>
      <w:r w:rsidRPr="00B409A8">
        <w:rPr>
          <w:rFonts w:ascii="Gothic720 BT" w:hAnsi="Gothic720 BT"/>
        </w:rPr>
        <w:t>3. Lo anterior, en virtud de que dichas personas carecen de competencia para actuar ante esta autoridad electoral local, además, de que en términos de los artículos 44, fracción IX y 114, fracción VII de los Estatutos del partido Fuerza Social por México</w:t>
      </w:r>
      <w:r w:rsidRPr="00B409A8">
        <w:rPr>
          <w:rStyle w:val="Refdenotaalpie"/>
          <w:rFonts w:ascii="Gothic720 BT" w:hAnsi="Gothic720 BT"/>
        </w:rPr>
        <w:footnoteReference w:id="3"/>
      </w:r>
      <w:r w:rsidRPr="00B409A8">
        <w:rPr>
          <w:rFonts w:ascii="Gothic720 BT" w:hAnsi="Gothic720 BT"/>
        </w:rPr>
        <w:t xml:space="preserve">  quien ejerce la presidencia de los Comités Directivos Nacional y Estatal tienen, entre </w:t>
      </w:r>
      <w:r w:rsidRPr="00B409A8">
        <w:rPr>
          <w:rFonts w:ascii="Gothic720 BT" w:hAnsi="Gothic720 BT"/>
        </w:rPr>
        <w:lastRenderedPageBreak/>
        <w:t xml:space="preserve">otras facultades y atribuciones, la de designar, previo acuerdo con la Comisión Permanente, a los representantes del partido Fuerza Social por México ante los organismos electorales que correspondan, respectivamente. Además, de que se precisa que la legislación vigente en el Estado de Querétaro no prevé la figura de “representantes </w:t>
      </w:r>
      <w:r w:rsidRPr="006A3329">
        <w:rPr>
          <w:rFonts w:ascii="Gothic720 BT" w:hAnsi="Gothic720 BT"/>
        </w:rPr>
        <w:t xml:space="preserve">provisionales”, sino que únicamente se prevén que los partidos políticos pueden contar con una persona representante propietaria y una suplente ante el Consejo General.  </w:t>
      </w:r>
    </w:p>
    <w:p w:rsidR="006A3329" w:rsidRDefault="006A3329" w:rsidP="006A3329">
      <w:pPr>
        <w:tabs>
          <w:tab w:val="left" w:pos="567"/>
        </w:tabs>
        <w:spacing w:after="0" w:line="276" w:lineRule="auto"/>
        <w:ind w:right="-235"/>
        <w:jc w:val="both"/>
        <w:rPr>
          <w:rFonts w:ascii="Gothic720 BT" w:hAnsi="Gothic720 BT"/>
        </w:rPr>
      </w:pPr>
    </w:p>
    <w:p w:rsidR="00FD6220" w:rsidRDefault="006A3329" w:rsidP="006A3329">
      <w:pPr>
        <w:tabs>
          <w:tab w:val="left" w:pos="567"/>
        </w:tabs>
        <w:spacing w:after="0" w:line="276" w:lineRule="auto"/>
        <w:ind w:right="-235"/>
        <w:jc w:val="both"/>
        <w:rPr>
          <w:rFonts w:ascii="Gothic720 BT" w:hAnsi="Gothic720 BT"/>
        </w:rPr>
      </w:pPr>
      <w:r>
        <w:rPr>
          <w:rFonts w:ascii="Gothic720 BT" w:hAnsi="Gothic720 BT"/>
        </w:rPr>
        <w:t xml:space="preserve">4. </w:t>
      </w:r>
      <w:r>
        <w:rPr>
          <w:rFonts w:ascii="Gothic720 BT" w:hAnsi="Gothic720 BT" w:cs="Arial"/>
        </w:rPr>
        <w:t>L</w:t>
      </w:r>
      <w:r w:rsidR="00FD6220" w:rsidRPr="007D7650">
        <w:rPr>
          <w:rFonts w:ascii="Gothic720 BT" w:hAnsi="Gothic720 BT" w:cs="Arial"/>
        </w:rPr>
        <w:t xml:space="preserve">o anterior, sin perjuicio de que en su oportunidad se informe a este Instituto la modificación de dicho Estatuto, en términos del punto resolutivo segundo de la resolución INE/CG510/2020 emitido por el Consejo General del Instituto Nacional Electoral.  </w:t>
      </w:r>
      <w:r w:rsidR="00FD6220" w:rsidRPr="007D7650">
        <w:rPr>
          <w:rFonts w:ascii="Gothic720 BT" w:hAnsi="Gothic720 BT"/>
        </w:rPr>
        <w:t xml:space="preserve">  </w:t>
      </w:r>
    </w:p>
    <w:p w:rsidR="00FD6220" w:rsidRDefault="00FD6220" w:rsidP="00FD6220">
      <w:pPr>
        <w:tabs>
          <w:tab w:val="left" w:pos="567"/>
        </w:tabs>
        <w:spacing w:after="0" w:line="276" w:lineRule="auto"/>
        <w:ind w:right="-235"/>
        <w:jc w:val="both"/>
        <w:rPr>
          <w:rFonts w:ascii="Gothic720 BT" w:hAnsi="Gothic720 BT"/>
        </w:rPr>
      </w:pPr>
    </w:p>
    <w:p w:rsidR="008D6491" w:rsidRDefault="00FD6220" w:rsidP="008D6491">
      <w:pPr>
        <w:tabs>
          <w:tab w:val="left" w:pos="567"/>
        </w:tabs>
        <w:spacing w:after="0" w:line="276" w:lineRule="auto"/>
        <w:ind w:right="-235"/>
        <w:jc w:val="both"/>
        <w:rPr>
          <w:rFonts w:ascii="Gothic720 BT" w:hAnsi="Gothic720 BT"/>
        </w:rPr>
      </w:pPr>
      <w:r>
        <w:rPr>
          <w:rFonts w:ascii="Gothic720 BT" w:hAnsi="Gothic720 BT"/>
        </w:rPr>
        <w:t xml:space="preserve">5. </w:t>
      </w:r>
      <w:r w:rsidR="006A3329">
        <w:rPr>
          <w:rFonts w:ascii="Gothic720 BT" w:hAnsi="Gothic720 BT"/>
        </w:rPr>
        <w:t>Finalmente</w:t>
      </w:r>
      <w:r>
        <w:rPr>
          <w:rFonts w:ascii="Gothic720 BT" w:hAnsi="Gothic720 BT"/>
        </w:rPr>
        <w:t xml:space="preserve">, </w:t>
      </w:r>
      <w:r w:rsidR="006A3329">
        <w:rPr>
          <w:rFonts w:ascii="Gothic720 BT" w:hAnsi="Gothic720 BT"/>
        </w:rPr>
        <w:t xml:space="preserve">es necesario precisar que Fuerza Social por México </w:t>
      </w:r>
      <w:r>
        <w:rPr>
          <w:rFonts w:ascii="Gothic720 BT" w:hAnsi="Gothic720 BT"/>
        </w:rPr>
        <w:t xml:space="preserve">debe observar que en el método de selección de candidaturas se atiendan las fechas establecidas en el calendario electoral del proceso electoral local 2020-2021, aprobado por el Consejo General de este Instituto el veintidós de octubre del año en curso, mismo que puede ser consultado en la página </w:t>
      </w:r>
      <w:hyperlink r:id="rId7" w:history="1">
        <w:r w:rsidR="006A3329" w:rsidRPr="004944BD">
          <w:rPr>
            <w:rStyle w:val="Hipervnculo"/>
            <w:rFonts w:ascii="Gothic720 BT" w:hAnsi="Gothic720 BT"/>
          </w:rPr>
          <w:t>http://eleccionesqro.mx/calendario_electoral.html</w:t>
        </w:r>
      </w:hyperlink>
      <w:r>
        <w:rPr>
          <w:rFonts w:ascii="Gothic720 BT" w:hAnsi="Gothic720 BT"/>
        </w:rPr>
        <w:t>.</w:t>
      </w:r>
    </w:p>
    <w:p w:rsidR="009965A0" w:rsidRPr="009965A0" w:rsidRDefault="009965A0" w:rsidP="008D6491">
      <w:pPr>
        <w:tabs>
          <w:tab w:val="left" w:pos="567"/>
        </w:tabs>
        <w:spacing w:after="0" w:line="276" w:lineRule="auto"/>
        <w:ind w:right="-235"/>
        <w:jc w:val="both"/>
        <w:rPr>
          <w:rFonts w:ascii="Gothic720 BT" w:hAnsi="Gothic720 BT"/>
          <w:b/>
        </w:rPr>
      </w:pPr>
    </w:p>
    <w:p w:rsidR="009965A0" w:rsidRPr="009965A0" w:rsidRDefault="009965A0" w:rsidP="008D6491">
      <w:pPr>
        <w:tabs>
          <w:tab w:val="left" w:pos="567"/>
        </w:tabs>
        <w:spacing w:after="0" w:line="276" w:lineRule="auto"/>
        <w:ind w:right="-235"/>
        <w:jc w:val="both"/>
        <w:rPr>
          <w:rFonts w:ascii="Gothic720 BT" w:hAnsi="Gothic720 BT"/>
        </w:rPr>
      </w:pPr>
      <w:r w:rsidRPr="009965A0">
        <w:rPr>
          <w:rFonts w:ascii="Gothic720 BT" w:hAnsi="Gothic720 BT"/>
          <w:b/>
        </w:rPr>
        <w:t>TERCERO</w:t>
      </w:r>
      <w:r>
        <w:rPr>
          <w:rFonts w:ascii="Gothic720 BT" w:hAnsi="Gothic720 BT"/>
          <w:b/>
        </w:rPr>
        <w:t xml:space="preserve">. Consulta. </w:t>
      </w:r>
      <w:r>
        <w:rPr>
          <w:rFonts w:ascii="Gothic720 BT" w:hAnsi="Gothic720 BT"/>
        </w:rPr>
        <w:t xml:space="preserve">En atención a las constancias que obran en autos y a fin de que esta autoridad electoral cuente con los elementos necesarios para determinar lo conducente, se ordena realizar una consulta al Instituto Nacional Electoral con relación al partido Fuerza Social por México.     </w:t>
      </w:r>
    </w:p>
    <w:p w:rsidR="008D6491" w:rsidRDefault="008D6491" w:rsidP="008D6491">
      <w:pPr>
        <w:tabs>
          <w:tab w:val="left" w:pos="567"/>
        </w:tabs>
        <w:spacing w:after="0" w:line="276" w:lineRule="auto"/>
        <w:ind w:right="-235"/>
        <w:jc w:val="both"/>
        <w:rPr>
          <w:rFonts w:ascii="Gothic720 BT" w:hAnsi="Gothic720 BT"/>
        </w:rPr>
      </w:pPr>
    </w:p>
    <w:p w:rsidR="00FD6220" w:rsidRPr="008D6491" w:rsidRDefault="00FD6220" w:rsidP="008D6491">
      <w:pPr>
        <w:tabs>
          <w:tab w:val="left" w:pos="567"/>
        </w:tabs>
        <w:spacing w:after="0" w:line="276" w:lineRule="auto"/>
        <w:ind w:right="-235"/>
        <w:jc w:val="both"/>
        <w:rPr>
          <w:rFonts w:ascii="Gothic720 BT" w:hAnsi="Gothic720 BT"/>
        </w:rPr>
      </w:pPr>
      <w:r w:rsidRPr="007D7650">
        <w:rPr>
          <w:rFonts w:ascii="Gothic720 BT" w:hAnsi="Gothic720 BT" w:cs="Arial"/>
          <w:b/>
        </w:rPr>
        <w:t>Notifíquese por estrados, con fundamento</w:t>
      </w:r>
      <w:r w:rsidR="008D6491">
        <w:rPr>
          <w:rFonts w:ascii="Gothic720 BT" w:hAnsi="Gothic720 BT" w:cs="Arial"/>
          <w:b/>
        </w:rPr>
        <w:t xml:space="preserve"> en los artículos 50, fracción </w:t>
      </w:r>
      <w:r w:rsidRPr="007D7650">
        <w:rPr>
          <w:rFonts w:ascii="Gothic720 BT" w:hAnsi="Gothic720 BT" w:cs="Arial"/>
          <w:b/>
        </w:rPr>
        <w:t xml:space="preserve">II, 52, y 56, </w:t>
      </w:r>
      <w:r w:rsidR="008D6491">
        <w:rPr>
          <w:rFonts w:ascii="Gothic720 BT" w:hAnsi="Gothic720 BT" w:cs="Arial"/>
          <w:b/>
        </w:rPr>
        <w:t xml:space="preserve">fracción </w:t>
      </w:r>
      <w:r w:rsidRPr="007D7650">
        <w:rPr>
          <w:rFonts w:ascii="Gothic720 BT" w:hAnsi="Gothic720 BT" w:cs="Arial"/>
          <w:b/>
        </w:rPr>
        <w:t>II de la Ley de Medios de Impugnación en Materia Electoral del Estado de Querétaro.</w:t>
      </w:r>
    </w:p>
    <w:p w:rsidR="00FD6220" w:rsidRPr="007D7650" w:rsidRDefault="00FD6220" w:rsidP="00FD6220">
      <w:pPr>
        <w:tabs>
          <w:tab w:val="left" w:pos="567"/>
        </w:tabs>
        <w:spacing w:after="0"/>
        <w:ind w:right="-235"/>
        <w:jc w:val="both"/>
        <w:rPr>
          <w:rFonts w:ascii="Gothic720 BT" w:hAnsi="Gothic720 BT" w:cs="Arial"/>
          <w:b/>
        </w:rPr>
      </w:pPr>
    </w:p>
    <w:p w:rsidR="00FD6220" w:rsidRPr="007D7650" w:rsidRDefault="00FD6220" w:rsidP="00FD6220">
      <w:pPr>
        <w:tabs>
          <w:tab w:val="left" w:pos="567"/>
        </w:tabs>
        <w:spacing w:after="0"/>
        <w:ind w:right="-235"/>
        <w:jc w:val="both"/>
        <w:rPr>
          <w:rFonts w:ascii="Gothic720 BT" w:hAnsi="Gothic720 BT" w:cs="Arial"/>
          <w:b/>
          <w:color w:val="000000"/>
        </w:rPr>
      </w:pPr>
      <w:r w:rsidRPr="007D7650">
        <w:rPr>
          <w:rFonts w:ascii="Gothic720 BT" w:hAnsi="Gothic720 BT" w:cs="Arial"/>
        </w:rPr>
        <w:t xml:space="preserve">Así lo proveyó y firmó el </w:t>
      </w:r>
      <w:r w:rsidR="00A677F3">
        <w:rPr>
          <w:rFonts w:ascii="Gothic720 BT" w:hAnsi="Gothic720 BT" w:cs="Arial"/>
        </w:rPr>
        <w:t xml:space="preserve">Encargado de Despacho de la Secretaría </w:t>
      </w:r>
      <w:r w:rsidRPr="007D7650">
        <w:rPr>
          <w:rFonts w:ascii="Gothic720 BT" w:hAnsi="Gothic720 BT" w:cs="Arial"/>
        </w:rPr>
        <w:t>Ejecutiv</w:t>
      </w:r>
      <w:r w:rsidR="00A677F3">
        <w:rPr>
          <w:rFonts w:ascii="Gothic720 BT" w:hAnsi="Gothic720 BT" w:cs="Arial"/>
        </w:rPr>
        <w:t>a</w:t>
      </w:r>
      <w:r w:rsidRPr="007D7650">
        <w:rPr>
          <w:rFonts w:ascii="Gothic720 BT" w:hAnsi="Gothic720 BT" w:cs="Arial"/>
        </w:rPr>
        <w:t xml:space="preserve"> del Instituto Electoral del Estado de Querétaro, quien autoriza. </w:t>
      </w:r>
      <w:r w:rsidRPr="007D7650">
        <w:rPr>
          <w:rFonts w:ascii="Gothic720 BT" w:hAnsi="Gothic720 BT" w:cs="Arial"/>
          <w:b/>
        </w:rPr>
        <w:t>DOY FE</w:t>
      </w:r>
      <w:r w:rsidRPr="007D7650">
        <w:rPr>
          <w:rFonts w:ascii="Gothic720 BT" w:hAnsi="Gothic720 BT" w:cs="Arial"/>
        </w:rPr>
        <w:t>.</w:t>
      </w:r>
    </w:p>
    <w:p w:rsidR="00FD6220" w:rsidRPr="007D7650" w:rsidRDefault="00FD6220" w:rsidP="00FD6220">
      <w:pPr>
        <w:tabs>
          <w:tab w:val="left" w:pos="709"/>
          <w:tab w:val="left" w:pos="851"/>
          <w:tab w:val="left" w:pos="993"/>
          <w:tab w:val="left" w:pos="8789"/>
        </w:tabs>
        <w:ind w:left="-284" w:right="-235"/>
        <w:jc w:val="both"/>
        <w:rPr>
          <w:rFonts w:ascii="Gothic720 BT" w:hAnsi="Gothic720 BT" w:cs="Arial"/>
          <w:b/>
          <w:color w:val="000000"/>
        </w:rPr>
      </w:pPr>
    </w:p>
    <w:p w:rsidR="00FD6220" w:rsidRPr="007D7650" w:rsidRDefault="00FD6220" w:rsidP="00FD6220">
      <w:pPr>
        <w:tabs>
          <w:tab w:val="left" w:pos="709"/>
          <w:tab w:val="left" w:pos="851"/>
          <w:tab w:val="left" w:pos="993"/>
          <w:tab w:val="left" w:pos="8789"/>
        </w:tabs>
        <w:ind w:left="-284" w:right="-235"/>
        <w:jc w:val="both"/>
        <w:rPr>
          <w:rFonts w:ascii="Gothic720 BT" w:hAnsi="Gothic720 BT" w:cs="Arial"/>
          <w:b/>
          <w:color w:val="000000"/>
        </w:rPr>
      </w:pPr>
    </w:p>
    <w:p w:rsidR="00FD6220" w:rsidRPr="007D7650" w:rsidRDefault="00FD6220" w:rsidP="00FD6220">
      <w:pPr>
        <w:tabs>
          <w:tab w:val="left" w:pos="709"/>
          <w:tab w:val="left" w:pos="851"/>
          <w:tab w:val="left" w:pos="993"/>
          <w:tab w:val="left" w:pos="8789"/>
        </w:tabs>
        <w:ind w:left="-284" w:right="-235"/>
        <w:jc w:val="both"/>
        <w:rPr>
          <w:rFonts w:ascii="Gothic720 BT" w:hAnsi="Gothic720 BT" w:cs="Arial"/>
          <w:b/>
          <w:color w:val="000000"/>
        </w:rPr>
      </w:pPr>
    </w:p>
    <w:p w:rsidR="00FD6220" w:rsidRPr="007D7650" w:rsidRDefault="00FD6220" w:rsidP="0043677D">
      <w:pPr>
        <w:pStyle w:val="Prrafodelista"/>
        <w:ind w:left="0" w:right="-235"/>
        <w:jc w:val="center"/>
        <w:rPr>
          <w:rFonts w:ascii="Gothic720 BT" w:hAnsi="Gothic720 BT" w:cs="Arial"/>
          <w:sz w:val="22"/>
          <w:szCs w:val="22"/>
          <w:lang w:val="es-MX"/>
        </w:rPr>
      </w:pPr>
      <w:r w:rsidRPr="007D7650">
        <w:rPr>
          <w:rFonts w:ascii="Gothic720 BT" w:hAnsi="Gothic720 BT" w:cs="Arial"/>
          <w:b/>
          <w:sz w:val="22"/>
          <w:szCs w:val="22"/>
          <w:lang w:val="es-MX"/>
        </w:rPr>
        <w:t>Mtro. Carlos Alejandro Pérez Espíndola</w:t>
      </w:r>
    </w:p>
    <w:p w:rsidR="00FD6220" w:rsidRDefault="00B409A8" w:rsidP="001E2167">
      <w:pPr>
        <w:pStyle w:val="Prrafodelista"/>
        <w:spacing w:line="276" w:lineRule="auto"/>
        <w:ind w:left="0" w:right="-235"/>
        <w:jc w:val="center"/>
        <w:rPr>
          <w:rFonts w:ascii="Gothic720 BT" w:hAnsi="Gothic720 BT" w:cs="Arial"/>
          <w:b/>
        </w:rPr>
      </w:pPr>
      <w:r>
        <w:rPr>
          <w:rFonts w:ascii="Gothic720 BT" w:hAnsi="Gothic720 BT" w:cs="Arial"/>
          <w:sz w:val="22"/>
          <w:szCs w:val="22"/>
          <w:lang w:val="es-MX"/>
        </w:rPr>
        <w:t xml:space="preserve">Encargado de Despacho de la </w:t>
      </w:r>
      <w:r w:rsidR="00FD6220" w:rsidRPr="007D7650">
        <w:rPr>
          <w:rFonts w:ascii="Gothic720 BT" w:hAnsi="Gothic720 BT" w:cs="Arial"/>
          <w:sz w:val="22"/>
          <w:szCs w:val="22"/>
          <w:lang w:val="es-MX"/>
        </w:rPr>
        <w:t>Secretar</w:t>
      </w:r>
      <w:r>
        <w:rPr>
          <w:rFonts w:ascii="Gothic720 BT" w:hAnsi="Gothic720 BT" w:cs="Arial"/>
          <w:sz w:val="22"/>
          <w:szCs w:val="22"/>
          <w:lang w:val="es-MX"/>
        </w:rPr>
        <w:t>ía</w:t>
      </w:r>
      <w:r w:rsidR="0043677D">
        <w:rPr>
          <w:rFonts w:ascii="Gothic720 BT" w:hAnsi="Gothic720 BT" w:cs="Arial"/>
          <w:sz w:val="22"/>
          <w:szCs w:val="22"/>
          <w:lang w:val="es-MX"/>
        </w:rPr>
        <w:t xml:space="preserve"> Ejecutiv</w:t>
      </w:r>
      <w:r>
        <w:rPr>
          <w:rFonts w:ascii="Gothic720 BT" w:hAnsi="Gothic720 BT" w:cs="Arial"/>
          <w:sz w:val="22"/>
          <w:szCs w:val="22"/>
          <w:lang w:val="es-MX"/>
        </w:rPr>
        <w:t>a</w:t>
      </w:r>
      <w:bookmarkStart w:id="0" w:name="_GoBack"/>
      <w:bookmarkEnd w:id="0"/>
    </w:p>
    <w:p w:rsidR="00886730" w:rsidRDefault="00886730" w:rsidP="00FD6220">
      <w:pPr>
        <w:tabs>
          <w:tab w:val="left" w:pos="4487"/>
        </w:tabs>
        <w:spacing w:after="0" w:line="276" w:lineRule="auto"/>
        <w:ind w:right="-235"/>
        <w:jc w:val="center"/>
        <w:rPr>
          <w:rFonts w:ascii="Gothic720 BT" w:hAnsi="Gothic720 BT" w:cs="Arial"/>
          <w:b/>
          <w:lang w:val="es-ES" w:eastAsia="es-ES"/>
        </w:rPr>
      </w:pPr>
    </w:p>
    <w:p w:rsidR="00886730" w:rsidRDefault="00886730" w:rsidP="00FD6220">
      <w:pPr>
        <w:tabs>
          <w:tab w:val="left" w:pos="4487"/>
        </w:tabs>
        <w:spacing w:after="0" w:line="276" w:lineRule="auto"/>
        <w:ind w:right="-235"/>
        <w:jc w:val="center"/>
        <w:rPr>
          <w:rFonts w:ascii="Gothic720 BT" w:hAnsi="Gothic720 BT" w:cs="Arial"/>
          <w:b/>
          <w:lang w:val="es-ES" w:eastAsia="es-ES"/>
        </w:rPr>
      </w:pPr>
    </w:p>
    <w:p w:rsidR="00886730" w:rsidRDefault="00886730" w:rsidP="00FD6220">
      <w:pPr>
        <w:tabs>
          <w:tab w:val="left" w:pos="4487"/>
        </w:tabs>
        <w:spacing w:after="0" w:line="276" w:lineRule="auto"/>
        <w:ind w:right="-235"/>
        <w:jc w:val="center"/>
        <w:rPr>
          <w:rFonts w:ascii="Gothic720 BT" w:hAnsi="Gothic720 BT" w:cs="Arial"/>
          <w:b/>
          <w:lang w:val="es-ES" w:eastAsia="es-ES"/>
        </w:rPr>
      </w:pPr>
    </w:p>
    <w:p w:rsidR="00886730" w:rsidRDefault="00886730" w:rsidP="00FD6220">
      <w:pPr>
        <w:tabs>
          <w:tab w:val="left" w:pos="4487"/>
        </w:tabs>
        <w:spacing w:after="0" w:line="276" w:lineRule="auto"/>
        <w:ind w:right="-235"/>
        <w:jc w:val="center"/>
        <w:rPr>
          <w:rFonts w:ascii="Gothic720 BT" w:hAnsi="Gothic720 BT" w:cs="Arial"/>
          <w:b/>
          <w:lang w:val="es-ES" w:eastAsia="es-ES"/>
        </w:rPr>
      </w:pPr>
    </w:p>
    <w:p w:rsidR="00886730" w:rsidRDefault="00886730" w:rsidP="00FD6220">
      <w:pPr>
        <w:tabs>
          <w:tab w:val="left" w:pos="4487"/>
        </w:tabs>
        <w:spacing w:after="0" w:line="276" w:lineRule="auto"/>
        <w:ind w:right="-235"/>
        <w:jc w:val="center"/>
        <w:rPr>
          <w:rFonts w:ascii="Gothic720 BT" w:hAnsi="Gothic720 BT" w:cs="Arial"/>
          <w:b/>
          <w:lang w:val="es-ES" w:eastAsia="es-ES"/>
        </w:rPr>
      </w:pPr>
    </w:p>
    <w:sectPr w:rsidR="00886730" w:rsidSect="00A01CE3">
      <w:headerReference w:type="default" r:id="rId8"/>
      <w:pgSz w:w="12240" w:h="15840" w:code="1"/>
      <w:pgMar w:top="1134" w:right="1134" w:bottom="1134" w:left="266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04" w:rsidRDefault="00746904" w:rsidP="00FD6220">
      <w:pPr>
        <w:spacing w:after="0" w:line="240" w:lineRule="auto"/>
      </w:pPr>
      <w:r>
        <w:separator/>
      </w:r>
    </w:p>
  </w:endnote>
  <w:endnote w:type="continuationSeparator" w:id="0">
    <w:p w:rsidR="00746904" w:rsidRDefault="00746904" w:rsidP="00FD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Galliar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04" w:rsidRDefault="00746904" w:rsidP="00FD6220">
      <w:pPr>
        <w:spacing w:after="0" w:line="240" w:lineRule="auto"/>
      </w:pPr>
      <w:r>
        <w:separator/>
      </w:r>
    </w:p>
  </w:footnote>
  <w:footnote w:type="continuationSeparator" w:id="0">
    <w:p w:rsidR="00746904" w:rsidRDefault="00746904" w:rsidP="00FD6220">
      <w:pPr>
        <w:spacing w:after="0" w:line="240" w:lineRule="auto"/>
      </w:pPr>
      <w:r>
        <w:continuationSeparator/>
      </w:r>
    </w:p>
  </w:footnote>
  <w:footnote w:id="1">
    <w:p w:rsidR="00FD6220" w:rsidRPr="008B4AB0" w:rsidRDefault="00FD6220" w:rsidP="00FD6220">
      <w:pPr>
        <w:pStyle w:val="Textonotapie"/>
        <w:ind w:right="-235"/>
        <w:jc w:val="both"/>
        <w:rPr>
          <w:rFonts w:ascii="Gothic720 BT" w:hAnsi="Gothic720 BT"/>
          <w:sz w:val="14"/>
          <w:szCs w:val="14"/>
        </w:rPr>
      </w:pPr>
      <w:r w:rsidRPr="008B4AB0">
        <w:rPr>
          <w:rStyle w:val="Refdenotaalpie"/>
          <w:rFonts w:ascii="Gothic720 BT" w:hAnsi="Gothic720 BT"/>
          <w:sz w:val="14"/>
          <w:szCs w:val="14"/>
        </w:rPr>
        <w:footnoteRef/>
      </w:r>
      <w:r w:rsidRPr="008B4AB0">
        <w:rPr>
          <w:rFonts w:ascii="Gothic720 BT" w:hAnsi="Gothic720 BT"/>
          <w:sz w:val="14"/>
          <w:szCs w:val="14"/>
        </w:rPr>
        <w:t xml:space="preserve"> Las fechas que se señalan en lo subsecuente, salvo mención de un año diverso, corresponden a dos mil veinte.  </w:t>
      </w:r>
    </w:p>
  </w:footnote>
  <w:footnote w:id="2">
    <w:p w:rsidR="00FD6220" w:rsidRPr="008B4AB0" w:rsidRDefault="00FD6220" w:rsidP="008D6491">
      <w:pPr>
        <w:pStyle w:val="Textonotapie"/>
        <w:ind w:right="-235"/>
        <w:jc w:val="both"/>
        <w:rPr>
          <w:rFonts w:ascii="Gothic720 BT" w:hAnsi="Gothic720 BT"/>
          <w:sz w:val="14"/>
          <w:szCs w:val="14"/>
        </w:rPr>
      </w:pPr>
      <w:r w:rsidRPr="008B4AB0">
        <w:rPr>
          <w:rStyle w:val="Refdenotaalpie"/>
          <w:rFonts w:ascii="Gothic720 BT" w:hAnsi="Gothic720 BT"/>
          <w:sz w:val="14"/>
          <w:szCs w:val="14"/>
        </w:rPr>
        <w:footnoteRef/>
      </w:r>
      <w:r w:rsidRPr="008B4AB0">
        <w:rPr>
          <w:rFonts w:ascii="Gothic720 BT" w:hAnsi="Gothic720 BT"/>
          <w:sz w:val="14"/>
          <w:szCs w:val="14"/>
        </w:rPr>
        <w:t xml:space="preserve"> En adelante Instituto Nacional.  </w:t>
      </w:r>
    </w:p>
  </w:footnote>
  <w:footnote w:id="3">
    <w:p w:rsidR="006A3329" w:rsidRPr="00002859" w:rsidRDefault="006A3329" w:rsidP="006A3329">
      <w:pPr>
        <w:pStyle w:val="Textonotapie"/>
        <w:jc w:val="both"/>
        <w:rPr>
          <w:rFonts w:ascii="Gothic720 BT" w:hAnsi="Gothic720 BT"/>
          <w:sz w:val="14"/>
          <w:szCs w:val="16"/>
        </w:rPr>
      </w:pPr>
      <w:r w:rsidRPr="00002859">
        <w:rPr>
          <w:rStyle w:val="Refdenotaalpie"/>
          <w:rFonts w:ascii="Gothic720 BT" w:hAnsi="Gothic720 BT"/>
          <w:sz w:val="14"/>
          <w:szCs w:val="16"/>
        </w:rPr>
        <w:footnoteRef/>
      </w:r>
      <w:r w:rsidRPr="00002859">
        <w:rPr>
          <w:rFonts w:ascii="Gothic720 BT" w:hAnsi="Gothic720 BT"/>
          <w:sz w:val="14"/>
          <w:szCs w:val="16"/>
        </w:rPr>
        <w:t xml:space="preserve"> Consultados el nueve de diciembre del año en curso, en la página oficial del Instituto Nacional Electoral: https://www.ine.mx/wp-content/uploads/2020/10/deppp-FSM-estatutos-19-10-2020.pdf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5" w:rsidRDefault="00746904" w:rsidP="008951D5">
    <w:pPr>
      <w:pStyle w:val="Encabezado"/>
      <w:jc w:val="center"/>
      <w:rPr>
        <w:rFonts w:ascii="Galliard BT" w:hAnsi="Galliard BT" w:cs="Arial"/>
        <w:b/>
        <w:lang w:eastAsia="es-ES"/>
      </w:rPr>
    </w:pPr>
  </w:p>
  <w:p w:rsidR="008951D5" w:rsidRDefault="00746904" w:rsidP="008951D5">
    <w:pPr>
      <w:pStyle w:val="Encabezado"/>
      <w:jc w:val="center"/>
      <w:rPr>
        <w:rFonts w:ascii="Galliard BT" w:hAnsi="Galliard BT" w:cs="Arial"/>
        <w:b/>
        <w:lang w:eastAsia="es-ES"/>
      </w:rPr>
    </w:pPr>
  </w:p>
  <w:p w:rsidR="008951D5" w:rsidRPr="00B46959" w:rsidRDefault="00746904" w:rsidP="008951D5">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20"/>
    <w:rsid w:val="001443D8"/>
    <w:rsid w:val="001E2167"/>
    <w:rsid w:val="002300AA"/>
    <w:rsid w:val="0026006F"/>
    <w:rsid w:val="00273724"/>
    <w:rsid w:val="002E3FA1"/>
    <w:rsid w:val="004221BC"/>
    <w:rsid w:val="0043677D"/>
    <w:rsid w:val="004A67CB"/>
    <w:rsid w:val="00671BA9"/>
    <w:rsid w:val="006A3329"/>
    <w:rsid w:val="006C7A26"/>
    <w:rsid w:val="00746692"/>
    <w:rsid w:val="00746904"/>
    <w:rsid w:val="007E5E75"/>
    <w:rsid w:val="00810033"/>
    <w:rsid w:val="008636AF"/>
    <w:rsid w:val="0087522E"/>
    <w:rsid w:val="00886730"/>
    <w:rsid w:val="008D6491"/>
    <w:rsid w:val="008F18F8"/>
    <w:rsid w:val="009965A0"/>
    <w:rsid w:val="00A677F3"/>
    <w:rsid w:val="00B409A8"/>
    <w:rsid w:val="00B75413"/>
    <w:rsid w:val="00B77868"/>
    <w:rsid w:val="00C325BC"/>
    <w:rsid w:val="00C92C7C"/>
    <w:rsid w:val="00F62B8B"/>
    <w:rsid w:val="00FD6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2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220"/>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FD6220"/>
    <w:rPr>
      <w:rFonts w:ascii="Calibri" w:eastAsia="Calibri" w:hAnsi="Calibri" w:cs="Times New Roman"/>
      <w:lang w:eastAsia="es-MX"/>
    </w:rPr>
  </w:style>
  <w:style w:type="paragraph" w:customStyle="1" w:styleId="Default">
    <w:name w:val="Default"/>
    <w:rsid w:val="00FD6220"/>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FD6220"/>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FD6220"/>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FD6220"/>
    <w:rPr>
      <w:vertAlign w:val="superscript"/>
    </w:rPr>
  </w:style>
  <w:style w:type="paragraph" w:styleId="Prrafodelista">
    <w:name w:val="List Paragraph"/>
    <w:basedOn w:val="Normal"/>
    <w:link w:val="PrrafodelistaCar"/>
    <w:uiPriority w:val="34"/>
    <w:qFormat/>
    <w:rsid w:val="00FD6220"/>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FD622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FD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FD6220"/>
  </w:style>
  <w:style w:type="character" w:styleId="Hipervnculo">
    <w:name w:val="Hyperlink"/>
    <w:basedOn w:val="Fuentedeprrafopredeter"/>
    <w:uiPriority w:val="99"/>
    <w:unhideWhenUsed/>
    <w:rsid w:val="006A33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2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220"/>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FD6220"/>
    <w:rPr>
      <w:rFonts w:ascii="Calibri" w:eastAsia="Calibri" w:hAnsi="Calibri" w:cs="Times New Roman"/>
      <w:lang w:eastAsia="es-MX"/>
    </w:rPr>
  </w:style>
  <w:style w:type="paragraph" w:customStyle="1" w:styleId="Default">
    <w:name w:val="Default"/>
    <w:rsid w:val="00FD6220"/>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FD6220"/>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FD6220"/>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FD6220"/>
    <w:rPr>
      <w:vertAlign w:val="superscript"/>
    </w:rPr>
  </w:style>
  <w:style w:type="paragraph" w:styleId="Prrafodelista">
    <w:name w:val="List Paragraph"/>
    <w:basedOn w:val="Normal"/>
    <w:link w:val="PrrafodelistaCar"/>
    <w:uiPriority w:val="34"/>
    <w:qFormat/>
    <w:rsid w:val="00FD6220"/>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FD622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FD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FD6220"/>
  </w:style>
  <w:style w:type="character" w:styleId="Hipervnculo">
    <w:name w:val="Hyperlink"/>
    <w:basedOn w:val="Fuentedeprrafopredeter"/>
    <w:uiPriority w:val="99"/>
    <w:unhideWhenUsed/>
    <w:rsid w:val="006A3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eccionesqro.mx/calendario_electora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Aura.Aguilar</cp:lastModifiedBy>
  <cp:revision>2</cp:revision>
  <cp:lastPrinted>2020-12-15T20:42:00Z</cp:lastPrinted>
  <dcterms:created xsi:type="dcterms:W3CDTF">2020-12-16T19:26:00Z</dcterms:created>
  <dcterms:modified xsi:type="dcterms:W3CDTF">2020-12-16T19:26:00Z</dcterms:modified>
</cp:coreProperties>
</file>