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AF" w:rsidRPr="003C5269" w:rsidRDefault="00E572AF" w:rsidP="00E572AF">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Pr>
          <w:rFonts w:ascii="Gothic720 BT" w:eastAsia="Times New Roman" w:hAnsi="Gothic720 BT"/>
          <w:lang w:eastAsia="es-ES"/>
        </w:rPr>
        <w:t>IEEQ/AG/002/2020-P</w:t>
      </w:r>
      <w:r w:rsidRPr="003C5269">
        <w:rPr>
          <w:rFonts w:ascii="Gothic720 BT" w:eastAsia="Times New Roman" w:hAnsi="Gothic720 BT"/>
          <w:lang w:eastAsia="es-ES"/>
        </w:rPr>
        <w:t>.</w:t>
      </w:r>
    </w:p>
    <w:p w:rsidR="00E572AF" w:rsidRPr="00280E12" w:rsidRDefault="00E572AF" w:rsidP="00E572AF">
      <w:pPr>
        <w:tabs>
          <w:tab w:val="left" w:pos="4663"/>
          <w:tab w:val="left" w:pos="9072"/>
        </w:tabs>
        <w:spacing w:after="0"/>
        <w:ind w:left="4253" w:right="-36"/>
        <w:jc w:val="both"/>
        <w:rPr>
          <w:rFonts w:ascii="Gothic720 BT" w:eastAsia="Times New Roman" w:hAnsi="Gothic720 BT"/>
          <w:b/>
          <w:lang w:eastAsia="es-ES"/>
        </w:rPr>
      </w:pPr>
    </w:p>
    <w:p w:rsidR="00E572AF" w:rsidRPr="003C5269" w:rsidRDefault="00E572AF" w:rsidP="00E572AF">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ENCUENTRO SOLIDARIO</w:t>
      </w:r>
      <w:r w:rsidRPr="003C5269">
        <w:rPr>
          <w:rFonts w:ascii="Gothic720 BT" w:eastAsia="Times New Roman" w:hAnsi="Gothic720 BT"/>
          <w:lang w:eastAsia="es-ES"/>
        </w:rPr>
        <w:t xml:space="preserve">. </w:t>
      </w:r>
    </w:p>
    <w:p w:rsidR="00E572AF" w:rsidRPr="003C5269" w:rsidRDefault="00E572AF" w:rsidP="00E572AF">
      <w:pPr>
        <w:tabs>
          <w:tab w:val="left" w:pos="5409"/>
        </w:tabs>
        <w:spacing w:after="0"/>
        <w:ind w:left="4253" w:right="-36"/>
        <w:jc w:val="both"/>
        <w:rPr>
          <w:rFonts w:ascii="Gothic720 BT" w:hAnsi="Gothic720 BT"/>
          <w:b/>
          <w:sz w:val="18"/>
        </w:rPr>
      </w:pPr>
      <w:r w:rsidRPr="003C5269">
        <w:rPr>
          <w:rFonts w:ascii="Gothic720 BT" w:hAnsi="Gothic720 BT"/>
          <w:b/>
        </w:rPr>
        <w:tab/>
      </w:r>
    </w:p>
    <w:p w:rsidR="00E572AF" w:rsidRPr="003C5269" w:rsidRDefault="00E572AF" w:rsidP="00E572AF">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SE ACUERDA DE CONFORMIDAD E INFORME</w:t>
      </w:r>
      <w:r w:rsidRPr="003C5269">
        <w:rPr>
          <w:rFonts w:ascii="Gothic720 BT" w:hAnsi="Gothic720 BT"/>
        </w:rPr>
        <w:t xml:space="preserve">. </w:t>
      </w:r>
    </w:p>
    <w:p w:rsidR="00627F36" w:rsidRPr="003C5269" w:rsidRDefault="00627F36" w:rsidP="006F0650">
      <w:pPr>
        <w:tabs>
          <w:tab w:val="left" w:pos="4663"/>
          <w:tab w:val="left" w:pos="9072"/>
        </w:tabs>
        <w:spacing w:after="0"/>
        <w:ind w:left="4253" w:right="-36"/>
        <w:jc w:val="both"/>
        <w:rPr>
          <w:rFonts w:ascii="Gothic720 BT" w:hAnsi="Gothic720 BT" w:cs="Arial"/>
          <w:b/>
        </w:rPr>
      </w:pPr>
    </w:p>
    <w:p w:rsidR="008B1C9A" w:rsidRPr="003C5269" w:rsidRDefault="008B1C9A" w:rsidP="00D75BC1">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A61FDE" w:rsidRPr="003C5269" w:rsidRDefault="00A61FDE" w:rsidP="00D75BC1">
      <w:pPr>
        <w:pStyle w:val="Estilo"/>
        <w:spacing w:line="276" w:lineRule="auto"/>
        <w:ind w:right="425"/>
        <w:jc w:val="center"/>
        <w:rPr>
          <w:rFonts w:ascii="Gothic720 BT" w:hAnsi="Gothic720 BT" w:cs="Arial"/>
          <w:b/>
          <w:sz w:val="22"/>
          <w:szCs w:val="22"/>
          <w:lang w:val="es-MX"/>
        </w:rPr>
      </w:pPr>
    </w:p>
    <w:p w:rsidR="00A61FDE" w:rsidRPr="003C5269" w:rsidRDefault="008B1C9A" w:rsidP="00D75BC1">
      <w:pPr>
        <w:jc w:val="both"/>
        <w:rPr>
          <w:rFonts w:ascii="Gothic720 BT" w:hAnsi="Gothic720 BT"/>
          <w:lang w:eastAsia="es-MX"/>
        </w:rPr>
      </w:pPr>
      <w:r w:rsidRPr="003C5269">
        <w:rPr>
          <w:rFonts w:ascii="Gothic720 BT" w:hAnsi="Gothic720 BT"/>
          <w:lang w:eastAsia="es-MX"/>
        </w:rPr>
        <w:t xml:space="preserve">En Santiago de Querétaro, Querétaro, </w:t>
      </w:r>
      <w:r w:rsidR="001B2734">
        <w:rPr>
          <w:rFonts w:ascii="Gothic720 BT" w:hAnsi="Gothic720 BT"/>
          <w:lang w:eastAsia="es-ES"/>
        </w:rPr>
        <w:t>dieciséis</w:t>
      </w:r>
      <w:r w:rsidR="001B2734"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sidR="00A70BC6">
        <w:rPr>
          <w:rFonts w:ascii="Gothic720 BT" w:eastAsia="Times New Roman" w:hAnsi="Gothic720 BT" w:cs="Arial"/>
          <w:color w:val="000000"/>
          <w:lang w:eastAsia="es-ES"/>
        </w:rPr>
        <w:t>octubre</w:t>
      </w:r>
      <w:r w:rsidRPr="003C5269">
        <w:rPr>
          <w:rFonts w:ascii="Gothic720 BT" w:hAnsi="Gothic720 BT"/>
          <w:lang w:eastAsia="es-MX"/>
        </w:rPr>
        <w:t xml:space="preserve"> de dos mil </w:t>
      </w:r>
      <w:r w:rsidR="004B1E83" w:rsidRPr="003C5269">
        <w:rPr>
          <w:rFonts w:ascii="Gothic720 BT" w:hAnsi="Gothic720 BT"/>
          <w:lang w:eastAsia="es-MX"/>
        </w:rPr>
        <w:t>veinte</w:t>
      </w:r>
      <w:r w:rsidRPr="003C5269">
        <w:rPr>
          <w:rFonts w:ascii="Gothic720 BT" w:hAnsi="Gothic720 BT"/>
          <w:lang w:eastAsia="es-MX"/>
        </w:rPr>
        <w:t xml:space="preserve">, </w:t>
      </w:r>
      <w:r w:rsidRPr="00460048">
        <w:rPr>
          <w:rFonts w:ascii="Gothic720 BT" w:hAnsi="Gothic720 BT"/>
          <w:lang w:eastAsia="es-MX"/>
        </w:rPr>
        <w:t xml:space="preserve">el </w:t>
      </w:r>
      <w:r w:rsidR="00460048" w:rsidRPr="00460048">
        <w:rPr>
          <w:rFonts w:ascii="Gothic720 BT" w:hAnsi="Gothic720 BT"/>
          <w:lang w:eastAsia="es-MX"/>
        </w:rPr>
        <w:t>Encargado</w:t>
      </w:r>
      <w:r w:rsidR="006412A5" w:rsidRPr="00460048">
        <w:rPr>
          <w:rFonts w:ascii="Gothic720 BT" w:hAnsi="Gothic720 BT"/>
          <w:lang w:eastAsia="es-MX"/>
        </w:rPr>
        <w:t xml:space="preserve"> de despacho de la </w:t>
      </w:r>
      <w:r w:rsidRPr="00460048">
        <w:rPr>
          <w:rFonts w:ascii="Gothic720 BT" w:hAnsi="Gothic720 BT"/>
          <w:lang w:eastAsia="es-MX"/>
        </w:rPr>
        <w:t>Secretar</w:t>
      </w:r>
      <w:r w:rsidR="006412A5" w:rsidRPr="00460048">
        <w:rPr>
          <w:rFonts w:ascii="Gothic720 BT" w:hAnsi="Gothic720 BT"/>
          <w:lang w:eastAsia="es-MX"/>
        </w:rPr>
        <w:t>ía</w:t>
      </w:r>
      <w:r w:rsidRPr="00460048">
        <w:rPr>
          <w:rFonts w:ascii="Gothic720 BT" w:hAnsi="Gothic720 BT"/>
          <w:lang w:eastAsia="es-MX"/>
        </w:rPr>
        <w:t xml:space="preserve"> Ejecutiv</w:t>
      </w:r>
      <w:r w:rsidR="006412A5" w:rsidRPr="00460048">
        <w:rPr>
          <w:rFonts w:ascii="Gothic720 BT" w:hAnsi="Gothic720 BT"/>
          <w:lang w:eastAsia="es-MX"/>
        </w:rPr>
        <w:t>a</w:t>
      </w:r>
      <w:r w:rsidRPr="003C5269">
        <w:rPr>
          <w:rFonts w:ascii="Gothic720 BT" w:hAnsi="Gothic720 BT"/>
          <w:lang w:eastAsia="es-MX"/>
        </w:rPr>
        <w:t xml:space="preserve">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w:t>
      </w:r>
      <w:r w:rsidR="00627F36" w:rsidRPr="003C5269">
        <w:rPr>
          <w:rFonts w:ascii="Gothic720 BT" w:hAnsi="Gothic720 BT"/>
          <w:lang w:eastAsia="es-MX"/>
        </w:rPr>
        <w:t xml:space="preserve">día en que se actúa </w:t>
      </w:r>
      <w:r w:rsidRPr="003C5269">
        <w:rPr>
          <w:rFonts w:ascii="Gothic720 BT" w:hAnsi="Gothic720 BT"/>
          <w:lang w:eastAsia="es-MX"/>
        </w:rPr>
        <w:t xml:space="preserve">en el expediente indicado al rubro, dichos documentos constan en </w:t>
      </w:r>
      <w:r w:rsidR="00BD43E9">
        <w:rPr>
          <w:rFonts w:ascii="Gothic720 BT" w:hAnsi="Gothic720 BT"/>
          <w:lang w:eastAsia="es-MX"/>
        </w:rPr>
        <w:t>tres</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00627784" w:rsidRPr="003C5269">
        <w:rPr>
          <w:rFonts w:ascii="Gothic720 BT" w:hAnsi="Gothic720 BT"/>
          <w:lang w:eastAsia="es-MX"/>
        </w:rPr>
        <w:t xml:space="preserve"> -----</w:t>
      </w:r>
      <w:r w:rsidR="00DA5D86" w:rsidRPr="003C5269">
        <w:rPr>
          <w:rFonts w:ascii="Gothic720 BT" w:hAnsi="Gothic720 BT"/>
          <w:lang w:eastAsia="es-MX"/>
        </w:rPr>
        <w:t>-----</w:t>
      </w:r>
      <w:r w:rsidR="00C45E16">
        <w:rPr>
          <w:rFonts w:ascii="Gothic720 BT" w:hAnsi="Gothic720 BT"/>
          <w:lang w:eastAsia="es-MX"/>
        </w:rPr>
        <w:t>---------------------------</w:t>
      </w:r>
    </w:p>
    <w:p w:rsidR="00A61FDE" w:rsidRPr="003C5269" w:rsidRDefault="00A61FDE"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6412A5" w:rsidRPr="003C5269" w:rsidRDefault="006412A5" w:rsidP="006412A5">
      <w:pPr>
        <w:spacing w:after="0"/>
        <w:jc w:val="both"/>
        <w:rPr>
          <w:rFonts w:ascii="Gothic720 BT" w:hAnsi="Gothic720 BT"/>
          <w:b/>
        </w:rPr>
      </w:pPr>
    </w:p>
    <w:p w:rsidR="006412A5" w:rsidRDefault="006412A5" w:rsidP="006412A5">
      <w:pPr>
        <w:spacing w:after="0"/>
        <w:jc w:val="center"/>
        <w:rPr>
          <w:rFonts w:ascii="Gothic720 BT" w:hAnsi="Gothic720 BT"/>
          <w:b/>
        </w:rPr>
      </w:pPr>
      <w:r>
        <w:rPr>
          <w:rFonts w:ascii="Gothic720 BT" w:hAnsi="Gothic720 BT"/>
          <w:b/>
        </w:rPr>
        <w:t xml:space="preserve">Mtro. </w:t>
      </w:r>
      <w:r w:rsidR="002F3731">
        <w:rPr>
          <w:rFonts w:ascii="Gothic720 BT" w:hAnsi="Gothic720 BT"/>
          <w:b/>
        </w:rPr>
        <w:t xml:space="preserve">Carlos </w:t>
      </w:r>
      <w:r>
        <w:rPr>
          <w:rFonts w:ascii="Gothic720 BT" w:hAnsi="Gothic720 BT"/>
          <w:b/>
        </w:rPr>
        <w:t>Alejandro Pérez Espíndola</w:t>
      </w:r>
    </w:p>
    <w:p w:rsidR="00C01213" w:rsidRDefault="006412A5" w:rsidP="006412A5">
      <w:pPr>
        <w:spacing w:after="0"/>
        <w:jc w:val="center"/>
        <w:rPr>
          <w:rFonts w:ascii="Gothic720 BT" w:hAnsi="Gothic720 BT"/>
        </w:rPr>
      </w:pPr>
      <w:r>
        <w:rPr>
          <w:rFonts w:ascii="Gothic720 BT" w:hAnsi="Gothic720 BT"/>
        </w:rPr>
        <w:t>Encargado de despacho de la Secretaría Ejecutiva</w:t>
      </w:r>
    </w:p>
    <w:p w:rsidR="00C01213" w:rsidRDefault="00C01213">
      <w:pPr>
        <w:spacing w:after="160" w:line="259" w:lineRule="auto"/>
        <w:rPr>
          <w:rFonts w:ascii="Gothic720 BT" w:hAnsi="Gothic720 BT"/>
        </w:rPr>
      </w:pPr>
      <w:r>
        <w:rPr>
          <w:rFonts w:ascii="Gothic720 BT" w:hAnsi="Gothic720 BT"/>
        </w:rPr>
        <w:br w:type="page"/>
      </w:r>
    </w:p>
    <w:p w:rsidR="00E0684D" w:rsidRPr="003C5269" w:rsidRDefault="00E0684D" w:rsidP="00E0684D">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Pr>
          <w:rFonts w:ascii="Gothic720 BT" w:eastAsia="Times New Roman" w:hAnsi="Gothic720 BT"/>
          <w:lang w:eastAsia="es-ES"/>
        </w:rPr>
        <w:t>IEEQ/AG/002/2020-P</w:t>
      </w:r>
      <w:r w:rsidRPr="003C5269">
        <w:rPr>
          <w:rFonts w:ascii="Gothic720 BT" w:eastAsia="Times New Roman" w:hAnsi="Gothic720 BT"/>
          <w:lang w:eastAsia="es-ES"/>
        </w:rPr>
        <w:t>.</w:t>
      </w:r>
    </w:p>
    <w:p w:rsidR="00E0684D" w:rsidRPr="00160321" w:rsidRDefault="00E0684D" w:rsidP="00E0684D">
      <w:pPr>
        <w:tabs>
          <w:tab w:val="left" w:pos="4663"/>
          <w:tab w:val="left" w:pos="9072"/>
        </w:tabs>
        <w:spacing w:after="0"/>
        <w:ind w:left="4253" w:right="-36"/>
        <w:jc w:val="both"/>
        <w:rPr>
          <w:rFonts w:ascii="Gothic720 BT" w:eastAsia="Times New Roman" w:hAnsi="Gothic720 BT"/>
          <w:b/>
          <w:sz w:val="16"/>
          <w:lang w:eastAsia="es-ES"/>
        </w:rPr>
      </w:pPr>
    </w:p>
    <w:p w:rsidR="00E0684D" w:rsidRPr="003C5269" w:rsidRDefault="00E0684D" w:rsidP="00E0684D">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ENCUENTRO SOLIDARIO</w:t>
      </w:r>
      <w:r w:rsidRPr="003C5269">
        <w:rPr>
          <w:rFonts w:ascii="Gothic720 BT" w:eastAsia="Times New Roman" w:hAnsi="Gothic720 BT"/>
          <w:lang w:eastAsia="es-ES"/>
        </w:rPr>
        <w:t xml:space="preserve">. </w:t>
      </w:r>
    </w:p>
    <w:p w:rsidR="00E0684D" w:rsidRPr="003C5269" w:rsidRDefault="00E0684D" w:rsidP="00E0684D">
      <w:pPr>
        <w:tabs>
          <w:tab w:val="left" w:pos="5409"/>
        </w:tabs>
        <w:spacing w:after="0"/>
        <w:ind w:left="4253" w:right="-36"/>
        <w:jc w:val="both"/>
        <w:rPr>
          <w:rFonts w:ascii="Gothic720 BT" w:hAnsi="Gothic720 BT"/>
          <w:b/>
          <w:sz w:val="18"/>
        </w:rPr>
      </w:pPr>
      <w:r w:rsidRPr="003C5269">
        <w:rPr>
          <w:rFonts w:ascii="Gothic720 BT" w:hAnsi="Gothic720 BT"/>
          <w:b/>
        </w:rPr>
        <w:tab/>
      </w:r>
    </w:p>
    <w:p w:rsidR="00E0684D" w:rsidRPr="003C5269" w:rsidRDefault="00E0684D" w:rsidP="00E0684D">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SE ACUERDA DE CONFORMIDAD E INFORME</w:t>
      </w:r>
      <w:r w:rsidRPr="003C5269">
        <w:rPr>
          <w:rFonts w:ascii="Gothic720 BT" w:hAnsi="Gothic720 BT"/>
        </w:rPr>
        <w:t xml:space="preserve">. </w:t>
      </w:r>
    </w:p>
    <w:p w:rsidR="00E0684D" w:rsidRPr="00160321" w:rsidRDefault="00E0684D" w:rsidP="00E0684D">
      <w:pPr>
        <w:tabs>
          <w:tab w:val="left" w:pos="567"/>
          <w:tab w:val="left" w:pos="7797"/>
          <w:tab w:val="left" w:pos="9356"/>
        </w:tabs>
        <w:spacing w:after="0"/>
        <w:rPr>
          <w:rFonts w:ascii="Gothic720 BT" w:hAnsi="Gothic720 BT"/>
          <w:sz w:val="16"/>
        </w:rPr>
      </w:pPr>
    </w:p>
    <w:p w:rsidR="00E0684D" w:rsidRPr="003C5269" w:rsidRDefault="00E0684D" w:rsidP="00E0684D">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Pr>
          <w:rFonts w:ascii="Gothic720 BT" w:hAnsi="Gothic720 BT"/>
          <w:lang w:eastAsia="es-ES"/>
        </w:rPr>
        <w:t>dieciséis</w:t>
      </w:r>
      <w:r w:rsidRPr="003C5269">
        <w:rPr>
          <w:rFonts w:ascii="Gothic720 BT" w:hAnsi="Gothic720 BT"/>
          <w:lang w:eastAsia="es-ES"/>
        </w:rPr>
        <w:t xml:space="preserve"> de </w:t>
      </w:r>
      <w:r>
        <w:rPr>
          <w:rFonts w:ascii="Gothic720 BT" w:hAnsi="Gothic720 BT"/>
          <w:lang w:eastAsia="es-ES"/>
        </w:rPr>
        <w:t>octubre</w:t>
      </w:r>
      <w:r w:rsidRPr="003C5269">
        <w:rPr>
          <w:rFonts w:ascii="Gothic720 BT" w:hAnsi="Gothic720 BT"/>
          <w:lang w:eastAsia="es-ES"/>
        </w:rPr>
        <w:t xml:space="preserve"> de dos mil veinte.</w:t>
      </w:r>
    </w:p>
    <w:p w:rsidR="00E0684D" w:rsidRPr="00160321" w:rsidRDefault="00E0684D" w:rsidP="00E0684D">
      <w:pPr>
        <w:tabs>
          <w:tab w:val="left" w:pos="567"/>
        </w:tabs>
        <w:spacing w:after="0"/>
        <w:ind w:left="567"/>
        <w:jc w:val="both"/>
        <w:rPr>
          <w:rFonts w:ascii="Gothic720 BT" w:hAnsi="Gothic720 BT"/>
          <w:b/>
          <w:sz w:val="16"/>
        </w:rPr>
      </w:pPr>
    </w:p>
    <w:p w:rsidR="00E0684D" w:rsidRPr="003C5269" w:rsidRDefault="00E0684D" w:rsidP="00E0684D">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w:t>
      </w:r>
      <w:r>
        <w:rPr>
          <w:rFonts w:ascii="Gothic720 BT" w:hAnsi="Gothic720 BT"/>
        </w:rPr>
        <w:t>la notificación recibida el doce de octubre de dos mil veinte,</w:t>
      </w:r>
      <w:r>
        <w:rPr>
          <w:rStyle w:val="Refdenotaalpie"/>
          <w:rFonts w:ascii="Gothic720 BT" w:hAnsi="Gothic720 BT" w:cs="Arial"/>
          <w:lang w:eastAsia="es-ES"/>
        </w:rPr>
        <w:footnoteReference w:id="1"/>
      </w:r>
      <w:r>
        <w:rPr>
          <w:rFonts w:ascii="Gothic720 BT" w:hAnsi="Gothic720 BT"/>
        </w:rPr>
        <w:t xml:space="preserve"> a través del Sistema de Vinculación con los Organismos Públicos Locales (SIVOPLE) del Instituto Nacional Electoral,</w:t>
      </w:r>
      <w:r>
        <w:rPr>
          <w:rStyle w:val="Refdenotaalpie"/>
          <w:rFonts w:ascii="Gothic720 BT" w:hAnsi="Gothic720 BT"/>
        </w:rPr>
        <w:footnoteReference w:id="2"/>
      </w:r>
      <w:r>
        <w:rPr>
          <w:rFonts w:ascii="Gothic720 BT" w:hAnsi="Gothic720 BT"/>
        </w:rPr>
        <w:t xml:space="preserve"> mediante la cual se recibió diversa documentación</w:t>
      </w:r>
      <w:r>
        <w:rPr>
          <w:rStyle w:val="Refdenotaalpie"/>
          <w:rFonts w:ascii="Gothic720 BT" w:hAnsi="Gothic720 BT"/>
        </w:rPr>
        <w:footnoteReference w:id="3"/>
      </w:r>
      <w:r>
        <w:rPr>
          <w:rFonts w:ascii="Gothic720 BT" w:hAnsi="Gothic720 BT"/>
        </w:rPr>
        <w:t xml:space="preserve"> relativa a la precisión de los representantes propietario y suplente del Partido Encuentro Solidario; </w:t>
      </w:r>
      <w:r w:rsidRPr="003C5269">
        <w:rPr>
          <w:rFonts w:ascii="Gothic720 BT" w:hAnsi="Gothic720 BT"/>
        </w:rPr>
        <w:t xml:space="preserve">con fundamento en lo dispuesto por </w:t>
      </w:r>
      <w:r>
        <w:rPr>
          <w:rFonts w:ascii="Gothic720 BT" w:hAnsi="Gothic720 BT"/>
        </w:rPr>
        <w:t>el</w:t>
      </w:r>
      <w:r w:rsidRPr="003C5269">
        <w:rPr>
          <w:rFonts w:ascii="Gothic720 BT" w:hAnsi="Gothic720 BT"/>
        </w:rPr>
        <w:t xml:space="preserve"> artículo</w:t>
      </w:r>
      <w:r>
        <w:rPr>
          <w:rFonts w:ascii="Gothic720 BT" w:hAnsi="Gothic720 BT"/>
        </w:rPr>
        <w:t xml:space="preserve"> </w:t>
      </w:r>
      <w:r w:rsidRPr="003C5269">
        <w:rPr>
          <w:rFonts w:ascii="Gothic720 BT" w:hAnsi="Gothic720 BT"/>
        </w:rPr>
        <w:t xml:space="preserve">63, fracción XXXI de la Ley Electoral del Estado de Querétaro, con relación al artículo 25, párrafo 1, inciso l) de la Ley General de Partidos Políticos, </w:t>
      </w:r>
      <w:r>
        <w:rPr>
          <w:rFonts w:ascii="Gothic720 BT" w:hAnsi="Gothic720 BT"/>
        </w:rPr>
        <w:t xml:space="preserve">el Encargado de Despacho de </w:t>
      </w:r>
      <w:r w:rsidRPr="003C5269">
        <w:rPr>
          <w:rFonts w:ascii="Gothic720 BT" w:hAnsi="Gothic720 BT"/>
        </w:rPr>
        <w:t xml:space="preserve">la Secretaría Ejecutiva del Instituto </w:t>
      </w:r>
      <w:r w:rsidRPr="003C5269">
        <w:rPr>
          <w:rFonts w:ascii="Gothic720 BT" w:hAnsi="Gothic720 BT"/>
          <w:b/>
        </w:rPr>
        <w:t>ACUERDA:</w:t>
      </w:r>
    </w:p>
    <w:p w:rsidR="00E0684D" w:rsidRPr="00280E12" w:rsidRDefault="00E0684D" w:rsidP="00E0684D">
      <w:pPr>
        <w:tabs>
          <w:tab w:val="left" w:pos="567"/>
        </w:tabs>
        <w:spacing w:after="0"/>
        <w:jc w:val="both"/>
        <w:rPr>
          <w:rFonts w:ascii="Gothic720 BT" w:hAnsi="Gothic720 BT"/>
          <w:b/>
          <w:szCs w:val="16"/>
        </w:rPr>
      </w:pPr>
    </w:p>
    <w:p w:rsidR="00E0684D" w:rsidRDefault="00E0684D" w:rsidP="00E0684D">
      <w:pPr>
        <w:tabs>
          <w:tab w:val="left" w:pos="567"/>
        </w:tabs>
        <w:spacing w:after="0"/>
        <w:jc w:val="both"/>
        <w:rPr>
          <w:rFonts w:ascii="Gothic720 BT" w:hAnsi="Gothic720 BT" w:cs="Arial"/>
          <w:lang w:eastAsia="es-ES"/>
        </w:rPr>
      </w:pPr>
      <w:r w:rsidRPr="003C5269">
        <w:rPr>
          <w:rFonts w:ascii="Gothic720 BT" w:hAnsi="Gothic720 BT"/>
          <w:b/>
        </w:rPr>
        <w:t>PRIMERO. Recepción.</w:t>
      </w:r>
      <w:r w:rsidRPr="003C5269">
        <w:rPr>
          <w:rFonts w:ascii="Gothic720 BT" w:hAnsi="Gothic720 BT"/>
        </w:rPr>
        <w:t xml:space="preserve"> Se tiene por recibido </w:t>
      </w:r>
      <w:r>
        <w:rPr>
          <w:rFonts w:ascii="Gothic720 BT" w:hAnsi="Gothic720 BT"/>
        </w:rPr>
        <w:t>los</w:t>
      </w:r>
      <w:r w:rsidRPr="003C5269">
        <w:rPr>
          <w:rFonts w:ascii="Gothic720 BT" w:hAnsi="Gothic720 BT"/>
        </w:rPr>
        <w:t xml:space="preserve"> d</w:t>
      </w:r>
      <w:r w:rsidRPr="003C5269">
        <w:rPr>
          <w:rFonts w:ascii="Gothic720 BT" w:hAnsi="Gothic720 BT" w:cs="Arial"/>
          <w:lang w:eastAsia="es-ES"/>
        </w:rPr>
        <w:t>ocumento</w:t>
      </w:r>
      <w:r>
        <w:rPr>
          <w:rFonts w:ascii="Gothic720 BT" w:hAnsi="Gothic720 BT" w:cs="Arial"/>
          <w:lang w:eastAsia="es-ES"/>
        </w:rPr>
        <w:t>s</w:t>
      </w:r>
      <w:r w:rsidRPr="003C5269">
        <w:rPr>
          <w:rFonts w:ascii="Gothic720 BT" w:hAnsi="Gothic720 BT" w:cs="Arial"/>
          <w:lang w:eastAsia="es-ES"/>
        </w:rPr>
        <w:t xml:space="preserve"> de cuenta, mismo</w:t>
      </w:r>
      <w:r>
        <w:rPr>
          <w:rFonts w:ascii="Gothic720 BT" w:hAnsi="Gothic720 BT" w:cs="Arial"/>
          <w:lang w:eastAsia="es-ES"/>
        </w:rPr>
        <w:t>s</w:t>
      </w:r>
      <w:r w:rsidRPr="003C5269">
        <w:rPr>
          <w:rFonts w:ascii="Gothic720 BT" w:hAnsi="Gothic720 BT" w:cs="Arial"/>
          <w:lang w:eastAsia="es-ES"/>
        </w:rPr>
        <w:t xml:space="preserve"> que consta</w:t>
      </w:r>
      <w:r>
        <w:rPr>
          <w:rFonts w:ascii="Gothic720 BT" w:hAnsi="Gothic720 BT" w:cs="Arial"/>
          <w:lang w:eastAsia="es-ES"/>
        </w:rPr>
        <w:t>n</w:t>
      </w:r>
      <w:r w:rsidRPr="003C5269">
        <w:rPr>
          <w:rFonts w:ascii="Gothic720 BT" w:hAnsi="Gothic720 BT" w:cs="Arial"/>
          <w:lang w:eastAsia="es-ES"/>
        </w:rPr>
        <w:t xml:space="preserve"> en un total de </w:t>
      </w:r>
      <w:r>
        <w:rPr>
          <w:rFonts w:ascii="Gothic720 BT" w:hAnsi="Gothic720 BT" w:cs="Arial"/>
          <w:lang w:eastAsia="es-ES"/>
        </w:rPr>
        <w:t>seis</w:t>
      </w:r>
      <w:r w:rsidRPr="003C5269">
        <w:rPr>
          <w:rFonts w:ascii="Gothic720 BT" w:hAnsi="Gothic720 BT" w:cs="Arial"/>
          <w:lang w:eastAsia="es-ES"/>
        </w:rPr>
        <w:t xml:space="preserve"> fojas útiles, los cuales se ordena agregar en autos para los efectos conducentes.</w:t>
      </w:r>
    </w:p>
    <w:p w:rsidR="00E0684D" w:rsidRDefault="00E0684D" w:rsidP="00E0684D">
      <w:pPr>
        <w:tabs>
          <w:tab w:val="left" w:pos="567"/>
        </w:tabs>
        <w:spacing w:after="0"/>
        <w:jc w:val="both"/>
        <w:rPr>
          <w:rFonts w:ascii="Gothic720 BT" w:hAnsi="Gothic720 BT" w:cs="Arial"/>
          <w:lang w:eastAsia="es-ES"/>
        </w:rPr>
      </w:pPr>
    </w:p>
    <w:p w:rsidR="00E0684D" w:rsidRDefault="00E0684D" w:rsidP="00E0684D">
      <w:pPr>
        <w:tabs>
          <w:tab w:val="left" w:pos="567"/>
        </w:tabs>
        <w:spacing w:after="0"/>
        <w:jc w:val="both"/>
        <w:rPr>
          <w:rFonts w:ascii="Gothic720 BT" w:hAnsi="Gothic720 BT" w:cs="Arial"/>
          <w:b/>
          <w:lang w:eastAsia="es-ES"/>
        </w:rPr>
      </w:pPr>
      <w:r>
        <w:rPr>
          <w:rFonts w:ascii="Gothic720 BT" w:hAnsi="Gothic720 BT" w:cs="Arial"/>
          <w:b/>
          <w:lang w:eastAsia="es-ES"/>
        </w:rPr>
        <w:t xml:space="preserve">SEGUNDO. </w:t>
      </w:r>
      <w:r w:rsidRPr="00B330AC">
        <w:rPr>
          <w:rFonts w:ascii="Gothic720 BT" w:hAnsi="Gothic720 BT" w:cs="Arial"/>
          <w:b/>
          <w:lang w:eastAsia="es-ES"/>
        </w:rPr>
        <w:t>Se acuerda de conformidad</w:t>
      </w:r>
      <w:r>
        <w:rPr>
          <w:rFonts w:ascii="Gothic720 BT" w:hAnsi="Gothic720 BT" w:cs="Arial"/>
          <w:b/>
          <w:lang w:eastAsia="es-ES"/>
        </w:rPr>
        <w:t xml:space="preserve">. </w:t>
      </w:r>
    </w:p>
    <w:p w:rsidR="00E0684D" w:rsidRPr="003A4D82" w:rsidRDefault="00E0684D" w:rsidP="00E0684D">
      <w:pPr>
        <w:tabs>
          <w:tab w:val="left" w:pos="567"/>
        </w:tabs>
        <w:spacing w:after="0"/>
        <w:jc w:val="both"/>
        <w:rPr>
          <w:rFonts w:ascii="Gothic720 BT" w:hAnsi="Gothic720 BT" w:cs="Arial"/>
          <w:b/>
          <w:sz w:val="16"/>
          <w:szCs w:val="16"/>
          <w:lang w:eastAsia="es-ES"/>
        </w:rPr>
      </w:pPr>
    </w:p>
    <w:p w:rsidR="00E0684D" w:rsidRDefault="00E0684D" w:rsidP="00E0684D">
      <w:pPr>
        <w:tabs>
          <w:tab w:val="left" w:pos="567"/>
        </w:tabs>
        <w:spacing w:after="0"/>
        <w:jc w:val="both"/>
        <w:rPr>
          <w:rFonts w:ascii="Gothic720 BT" w:hAnsi="Gothic720 BT" w:cs="Arial"/>
          <w:lang w:eastAsia="es-ES"/>
        </w:rPr>
      </w:pPr>
      <w:r>
        <w:rPr>
          <w:rFonts w:ascii="Gothic720 BT" w:hAnsi="Gothic720 BT" w:cs="Arial"/>
          <w:lang w:eastAsia="es-ES"/>
        </w:rPr>
        <w:t>1. Mediante proveído de veintitrés de septiembre se integró el expediente indicado al rubro, relativo al Partido Encuentro Solidario y se acreditó a los representantes propietario y suplente de dicho partido ante el Consejo General del Instituto Electoral del Estado de Querétaro,</w:t>
      </w:r>
      <w:r>
        <w:rPr>
          <w:rStyle w:val="Refdenotaalpie"/>
          <w:rFonts w:ascii="Gothic720 BT" w:hAnsi="Gothic720 BT" w:cs="Arial"/>
          <w:lang w:eastAsia="es-ES"/>
        </w:rPr>
        <w:footnoteReference w:id="4"/>
      </w:r>
      <w:r>
        <w:rPr>
          <w:rFonts w:ascii="Gothic720 BT" w:hAnsi="Gothic720 BT" w:cs="Arial"/>
          <w:lang w:eastAsia="es-ES"/>
        </w:rPr>
        <w:t xml:space="preserve"> en atención a la documentación presentada para tal efecto, en los términos siguientes:</w:t>
      </w:r>
      <w:r>
        <w:rPr>
          <w:rStyle w:val="Refdenotaalpie"/>
          <w:rFonts w:ascii="Gothic720 BT" w:hAnsi="Gothic720 BT"/>
        </w:rPr>
        <w:footnoteReference w:id="5"/>
      </w:r>
      <w:r w:rsidRPr="00011F3C">
        <w:rPr>
          <w:rFonts w:ascii="Gothic720 BT" w:hAnsi="Gothic720 BT" w:cs="Arial"/>
          <w:sz w:val="19"/>
          <w:szCs w:val="19"/>
          <w:lang w:eastAsia="es-ES"/>
        </w:rPr>
        <w:t xml:space="preserve"> </w:t>
      </w:r>
      <w:r w:rsidRPr="00011F3C">
        <w:rPr>
          <w:rFonts w:ascii="Gothic720 BT" w:hAnsi="Gothic720 BT" w:cs="Arial"/>
          <w:lang w:eastAsia="es-ES"/>
        </w:rPr>
        <w:t>Abraham Márquez Barrón, propietario y Anahí Carolina Ramírez Ayala, suplente</w:t>
      </w:r>
      <w:r>
        <w:rPr>
          <w:rFonts w:ascii="Gothic720 BT" w:hAnsi="Gothic720 BT" w:cs="Arial"/>
          <w:lang w:eastAsia="es-ES"/>
        </w:rPr>
        <w:t>.</w:t>
      </w:r>
    </w:p>
    <w:p w:rsidR="00E0684D" w:rsidRPr="00FA380C" w:rsidRDefault="00E0684D" w:rsidP="00E0684D">
      <w:pPr>
        <w:tabs>
          <w:tab w:val="left" w:pos="567"/>
        </w:tabs>
        <w:spacing w:after="0"/>
        <w:jc w:val="both"/>
        <w:rPr>
          <w:rFonts w:ascii="Gothic720 BT" w:hAnsi="Gothic720 BT" w:cs="Arial"/>
          <w:lang w:eastAsia="es-ES"/>
        </w:rPr>
      </w:pPr>
    </w:p>
    <w:p w:rsidR="00E0684D" w:rsidRDefault="00E0684D" w:rsidP="00E0684D">
      <w:pPr>
        <w:tabs>
          <w:tab w:val="left" w:pos="567"/>
        </w:tabs>
        <w:spacing w:after="0"/>
        <w:jc w:val="both"/>
        <w:rPr>
          <w:rFonts w:ascii="Gothic720 BT" w:hAnsi="Gothic720 BT"/>
        </w:rPr>
      </w:pPr>
      <w:r>
        <w:rPr>
          <w:rFonts w:ascii="Gothic720 BT" w:hAnsi="Gothic720 BT"/>
        </w:rPr>
        <w:t xml:space="preserve">2. Ahora bien, de los documentos de cuenta se advierte que el </w:t>
      </w:r>
      <w:proofErr w:type="spellStart"/>
      <w:r>
        <w:rPr>
          <w:rFonts w:ascii="Gothic720 BT" w:hAnsi="Gothic720 BT"/>
        </w:rPr>
        <w:t>promovente</w:t>
      </w:r>
      <w:proofErr w:type="spellEnd"/>
      <w:r>
        <w:rPr>
          <w:rFonts w:ascii="Gothic720 BT" w:hAnsi="Gothic720 BT"/>
        </w:rPr>
        <w:t xml:space="preserve"> solicitó la aclaración del carácter de las personas representantes de dicho partido ante el Consejo General, para lo cual adjuntó la “Constancia de n</w:t>
      </w:r>
      <w:r w:rsidRPr="003F0A10">
        <w:rPr>
          <w:rFonts w:ascii="Gothic720 BT" w:hAnsi="Gothic720 BT"/>
        </w:rPr>
        <w:t>ombramiento como representante ante el organis</w:t>
      </w:r>
      <w:r>
        <w:rPr>
          <w:rFonts w:ascii="Gothic720 BT" w:hAnsi="Gothic720 BT"/>
        </w:rPr>
        <w:t xml:space="preserve">mo público local electoral del </w:t>
      </w:r>
      <w:r w:rsidRPr="003F0A10">
        <w:rPr>
          <w:rFonts w:ascii="Gothic720 BT" w:hAnsi="Gothic720 BT"/>
        </w:rPr>
        <w:t>Partido Encuentro Solidario”</w:t>
      </w:r>
      <w:r>
        <w:rPr>
          <w:rFonts w:ascii="Gothic720 BT" w:hAnsi="Gothic720 BT"/>
        </w:rPr>
        <w:t xml:space="preserve"> expedida por la Comisión electa en la Asamblea Nacional </w:t>
      </w:r>
      <w:r>
        <w:rPr>
          <w:rFonts w:ascii="Gothic720 BT" w:hAnsi="Gothic720 BT"/>
        </w:rPr>
        <w:lastRenderedPageBreak/>
        <w:t>Constitutiva, así como el documento denominado “</w:t>
      </w:r>
      <w:r w:rsidRPr="006851AC">
        <w:rPr>
          <w:rFonts w:ascii="Gothic720 BT" w:hAnsi="Gothic720 BT"/>
        </w:rPr>
        <w:t>Certificación de la</w:t>
      </w:r>
      <w:r>
        <w:rPr>
          <w:rFonts w:ascii="Gothic720 BT" w:hAnsi="Gothic720 BT"/>
        </w:rPr>
        <w:t xml:space="preserve"> Asamblea Nacional constitutiva…” del referido partido, en la cual se señalan las facultades de la mencionada comisión. </w:t>
      </w:r>
    </w:p>
    <w:p w:rsidR="00E0684D" w:rsidRDefault="00E0684D" w:rsidP="00E0684D">
      <w:pPr>
        <w:tabs>
          <w:tab w:val="left" w:pos="567"/>
        </w:tabs>
        <w:spacing w:after="0"/>
        <w:jc w:val="both"/>
        <w:rPr>
          <w:rFonts w:ascii="Gothic720 BT" w:hAnsi="Gothic720 BT"/>
        </w:rPr>
      </w:pPr>
    </w:p>
    <w:p w:rsidR="00E0684D" w:rsidRDefault="00E0684D" w:rsidP="00E0684D">
      <w:pPr>
        <w:tabs>
          <w:tab w:val="left" w:pos="567"/>
        </w:tabs>
        <w:spacing w:after="0"/>
        <w:jc w:val="both"/>
        <w:rPr>
          <w:rFonts w:ascii="Gothic720 BT" w:hAnsi="Gothic720 BT"/>
        </w:rPr>
      </w:pPr>
      <w:r>
        <w:rPr>
          <w:rFonts w:ascii="Gothic720 BT" w:hAnsi="Gothic720 BT"/>
        </w:rPr>
        <w:t>3. En atención a las referidas constancias, se acuerda de conformidad la aclaración del carácter de las personas representantes del Partido Encuentro Solidario, en los términos siguientes:</w:t>
      </w:r>
    </w:p>
    <w:p w:rsidR="00E0684D" w:rsidRDefault="00E0684D" w:rsidP="00E0684D">
      <w:pPr>
        <w:tabs>
          <w:tab w:val="left" w:pos="567"/>
        </w:tabs>
        <w:spacing w:after="0"/>
        <w:jc w:val="both"/>
        <w:rPr>
          <w:rFonts w:ascii="Gothic720 BT" w:hAnsi="Gothic720 BT"/>
        </w:rPr>
      </w:pPr>
    </w:p>
    <w:tbl>
      <w:tblPr>
        <w:tblStyle w:val="Tablaconcuadrcula"/>
        <w:tblW w:w="0" w:type="auto"/>
        <w:tblInd w:w="1526" w:type="dxa"/>
        <w:tblLook w:val="04A0" w:firstRow="1" w:lastRow="0" w:firstColumn="1" w:lastColumn="0" w:noHBand="0" w:noVBand="1"/>
      </w:tblPr>
      <w:tblGrid>
        <w:gridCol w:w="3118"/>
        <w:gridCol w:w="1418"/>
      </w:tblGrid>
      <w:tr w:rsidR="00E0684D" w:rsidTr="00123C7B">
        <w:tc>
          <w:tcPr>
            <w:tcW w:w="3118" w:type="dxa"/>
            <w:shd w:val="clear" w:color="auto" w:fill="BFBFBF" w:themeFill="background1" w:themeFillShade="BF"/>
          </w:tcPr>
          <w:p w:rsidR="00E0684D" w:rsidRPr="006851AC" w:rsidRDefault="00E0684D" w:rsidP="00123C7B">
            <w:pPr>
              <w:tabs>
                <w:tab w:val="left" w:pos="567"/>
              </w:tabs>
              <w:spacing w:after="0"/>
              <w:jc w:val="center"/>
              <w:rPr>
                <w:rFonts w:ascii="Gothic720 BT" w:hAnsi="Gothic720 BT" w:cs="Arial"/>
                <w:b/>
                <w:sz w:val="19"/>
                <w:szCs w:val="19"/>
                <w:lang w:eastAsia="es-ES"/>
              </w:rPr>
            </w:pPr>
            <w:r w:rsidRPr="006851AC">
              <w:rPr>
                <w:rFonts w:ascii="Gothic720 BT" w:hAnsi="Gothic720 BT" w:cs="Arial"/>
                <w:b/>
                <w:sz w:val="19"/>
                <w:szCs w:val="19"/>
                <w:lang w:eastAsia="es-ES"/>
              </w:rPr>
              <w:t>Nombre</w:t>
            </w:r>
          </w:p>
        </w:tc>
        <w:tc>
          <w:tcPr>
            <w:tcW w:w="1418" w:type="dxa"/>
            <w:shd w:val="clear" w:color="auto" w:fill="BFBFBF" w:themeFill="background1" w:themeFillShade="BF"/>
          </w:tcPr>
          <w:p w:rsidR="00E0684D" w:rsidRPr="006851AC" w:rsidRDefault="00E0684D" w:rsidP="00123C7B">
            <w:pPr>
              <w:tabs>
                <w:tab w:val="left" w:pos="567"/>
              </w:tabs>
              <w:spacing w:after="0"/>
              <w:jc w:val="center"/>
              <w:rPr>
                <w:rFonts w:ascii="Gothic720 BT" w:hAnsi="Gothic720 BT" w:cs="Arial"/>
                <w:b/>
                <w:sz w:val="19"/>
                <w:szCs w:val="19"/>
                <w:lang w:eastAsia="es-ES"/>
              </w:rPr>
            </w:pPr>
            <w:r w:rsidRPr="006851AC">
              <w:rPr>
                <w:rFonts w:ascii="Gothic720 BT" w:hAnsi="Gothic720 BT" w:cs="Arial"/>
                <w:b/>
                <w:sz w:val="19"/>
                <w:szCs w:val="19"/>
                <w:lang w:eastAsia="es-ES"/>
              </w:rPr>
              <w:t>Carácter</w:t>
            </w:r>
          </w:p>
        </w:tc>
      </w:tr>
      <w:tr w:rsidR="00E0684D" w:rsidTr="00123C7B">
        <w:tc>
          <w:tcPr>
            <w:tcW w:w="3118" w:type="dxa"/>
          </w:tcPr>
          <w:p w:rsidR="00E0684D" w:rsidRPr="006851AC" w:rsidRDefault="00E0684D" w:rsidP="00123C7B">
            <w:pPr>
              <w:tabs>
                <w:tab w:val="left" w:pos="567"/>
              </w:tabs>
              <w:spacing w:after="0"/>
              <w:jc w:val="both"/>
              <w:rPr>
                <w:rFonts w:ascii="Gothic720 BT" w:hAnsi="Gothic720 BT" w:cs="Arial"/>
                <w:sz w:val="19"/>
                <w:szCs w:val="19"/>
                <w:lang w:eastAsia="es-ES"/>
              </w:rPr>
            </w:pPr>
            <w:r w:rsidRPr="006851AC">
              <w:rPr>
                <w:rFonts w:ascii="Gothic720 BT" w:hAnsi="Gothic720 BT" w:cs="Arial"/>
                <w:sz w:val="19"/>
                <w:szCs w:val="19"/>
                <w:lang w:eastAsia="es-ES"/>
              </w:rPr>
              <w:t>Anahí Carolina Ramírez Ayala</w:t>
            </w:r>
          </w:p>
        </w:tc>
        <w:tc>
          <w:tcPr>
            <w:tcW w:w="1418" w:type="dxa"/>
          </w:tcPr>
          <w:p w:rsidR="00E0684D" w:rsidRPr="006851AC" w:rsidRDefault="00E0684D" w:rsidP="00123C7B">
            <w:pPr>
              <w:tabs>
                <w:tab w:val="left" w:pos="567"/>
              </w:tabs>
              <w:spacing w:after="0"/>
              <w:jc w:val="both"/>
              <w:rPr>
                <w:rFonts w:ascii="Gothic720 BT" w:hAnsi="Gothic720 BT" w:cs="Arial"/>
                <w:sz w:val="19"/>
                <w:szCs w:val="19"/>
                <w:lang w:eastAsia="es-ES"/>
              </w:rPr>
            </w:pPr>
            <w:r w:rsidRPr="003A66CA">
              <w:rPr>
                <w:rFonts w:ascii="Gothic720 BT" w:hAnsi="Gothic720 BT" w:cs="Arial"/>
                <w:sz w:val="19"/>
                <w:szCs w:val="19"/>
                <w:lang w:eastAsia="es-ES"/>
              </w:rPr>
              <w:t>Propietaria</w:t>
            </w:r>
          </w:p>
        </w:tc>
      </w:tr>
      <w:tr w:rsidR="00E0684D" w:rsidTr="00123C7B">
        <w:tc>
          <w:tcPr>
            <w:tcW w:w="3118" w:type="dxa"/>
          </w:tcPr>
          <w:p w:rsidR="00E0684D" w:rsidRPr="006851AC" w:rsidRDefault="00E0684D" w:rsidP="00123C7B">
            <w:pPr>
              <w:tabs>
                <w:tab w:val="left" w:pos="567"/>
              </w:tabs>
              <w:spacing w:after="0"/>
              <w:jc w:val="both"/>
              <w:rPr>
                <w:rFonts w:ascii="Gothic720 BT" w:hAnsi="Gothic720 BT" w:cs="Arial"/>
                <w:sz w:val="19"/>
                <w:szCs w:val="19"/>
                <w:lang w:eastAsia="es-ES"/>
              </w:rPr>
            </w:pPr>
            <w:r w:rsidRPr="006851AC">
              <w:rPr>
                <w:rFonts w:ascii="Gothic720 BT" w:hAnsi="Gothic720 BT" w:cs="Arial"/>
                <w:sz w:val="19"/>
                <w:szCs w:val="19"/>
                <w:lang w:eastAsia="es-ES"/>
              </w:rPr>
              <w:t>Abraham Márquez Barrón</w:t>
            </w:r>
          </w:p>
        </w:tc>
        <w:tc>
          <w:tcPr>
            <w:tcW w:w="1418" w:type="dxa"/>
          </w:tcPr>
          <w:p w:rsidR="00E0684D" w:rsidRPr="006851AC" w:rsidRDefault="00E0684D" w:rsidP="00123C7B">
            <w:pPr>
              <w:tabs>
                <w:tab w:val="left" w:pos="567"/>
              </w:tabs>
              <w:spacing w:after="0"/>
              <w:jc w:val="both"/>
              <w:rPr>
                <w:rFonts w:ascii="Gothic720 BT" w:hAnsi="Gothic720 BT" w:cs="Arial"/>
                <w:sz w:val="19"/>
                <w:szCs w:val="19"/>
                <w:lang w:eastAsia="es-ES"/>
              </w:rPr>
            </w:pPr>
            <w:r w:rsidRPr="006851AC">
              <w:rPr>
                <w:rFonts w:ascii="Gothic720 BT" w:hAnsi="Gothic720 BT" w:cs="Arial"/>
                <w:sz w:val="19"/>
                <w:szCs w:val="19"/>
                <w:lang w:eastAsia="es-ES"/>
              </w:rPr>
              <w:t>Suplente</w:t>
            </w:r>
          </w:p>
        </w:tc>
      </w:tr>
    </w:tbl>
    <w:p w:rsidR="00E0684D" w:rsidRPr="0033007E" w:rsidRDefault="00E0684D" w:rsidP="00E0684D">
      <w:pPr>
        <w:tabs>
          <w:tab w:val="left" w:pos="567"/>
        </w:tabs>
        <w:spacing w:after="0"/>
        <w:jc w:val="both"/>
        <w:rPr>
          <w:rFonts w:ascii="Gothic720 BT" w:hAnsi="Gothic720 BT" w:cs="Arial"/>
          <w:lang w:eastAsia="es-ES"/>
        </w:rPr>
      </w:pPr>
    </w:p>
    <w:p w:rsidR="00E0684D" w:rsidRPr="00E42194" w:rsidRDefault="00E0684D" w:rsidP="00E0684D">
      <w:pPr>
        <w:tabs>
          <w:tab w:val="left" w:pos="4569"/>
          <w:tab w:val="left" w:pos="9214"/>
        </w:tabs>
        <w:ind w:right="51"/>
        <w:jc w:val="both"/>
        <w:rPr>
          <w:rFonts w:ascii="Gothic720 BT" w:hAnsi="Gothic720 BT" w:cs="Arial"/>
        </w:rPr>
      </w:pPr>
      <w:r>
        <w:rPr>
          <w:rFonts w:ascii="Gothic720 BT" w:hAnsi="Gothic720 BT" w:cs="Arial"/>
          <w:b/>
        </w:rPr>
        <w:t>TERCERO</w:t>
      </w:r>
      <w:r w:rsidRPr="004104A9">
        <w:rPr>
          <w:rFonts w:ascii="Gothic720 BT" w:hAnsi="Gothic720 BT" w:cs="Arial"/>
          <w:b/>
        </w:rPr>
        <w:t xml:space="preserve">. </w:t>
      </w:r>
      <w:r>
        <w:rPr>
          <w:rFonts w:ascii="Gothic720 BT" w:hAnsi="Gothic720 BT" w:cs="Arial"/>
          <w:b/>
        </w:rPr>
        <w:t>Informe</w:t>
      </w:r>
      <w:r w:rsidRPr="004104A9">
        <w:rPr>
          <w:rFonts w:ascii="Gothic720 BT" w:hAnsi="Gothic720 BT" w:cs="Arial"/>
          <w:b/>
        </w:rPr>
        <w:t xml:space="preserve">. </w:t>
      </w:r>
      <w:r w:rsidRPr="00E42194">
        <w:rPr>
          <w:rFonts w:ascii="Gothic720 BT" w:hAnsi="Gothic720 BT" w:cs="Arial"/>
        </w:rPr>
        <w:t xml:space="preserve">Infórmese de </w:t>
      </w:r>
      <w:r>
        <w:rPr>
          <w:rFonts w:ascii="Gothic720 BT" w:hAnsi="Gothic720 BT" w:cs="Arial"/>
        </w:rPr>
        <w:t xml:space="preserve">la presente determinación a las Consejerías del Consejo General con relación a las comisiones que presiden, así como </w:t>
      </w:r>
      <w:r w:rsidRPr="00E42194">
        <w:rPr>
          <w:rFonts w:ascii="Gothic720 BT" w:hAnsi="Gothic720 BT" w:cs="Arial"/>
        </w:rPr>
        <w:t xml:space="preserve">a la Dirección Ejecutiva de Organización Electoral, Prerrogativas y Partidos Políticos, </w:t>
      </w:r>
      <w:r>
        <w:rPr>
          <w:rFonts w:ascii="Gothic720 BT" w:hAnsi="Gothic720 BT" w:cs="Arial"/>
        </w:rPr>
        <w:t>y a</w:t>
      </w:r>
      <w:r w:rsidRPr="00E42194">
        <w:rPr>
          <w:rFonts w:ascii="Gothic720 BT" w:hAnsi="Gothic720 BT" w:cs="Arial"/>
        </w:rPr>
        <w:t xml:space="preserve"> la Coordinación </w:t>
      </w:r>
      <w:r>
        <w:rPr>
          <w:rFonts w:ascii="Gothic720 BT" w:hAnsi="Gothic720 BT" w:cs="Arial"/>
        </w:rPr>
        <w:t>Administrativa</w:t>
      </w:r>
      <w:r w:rsidRPr="00E42194">
        <w:rPr>
          <w:rFonts w:ascii="Gothic720 BT" w:hAnsi="Gothic720 BT" w:cs="Arial"/>
        </w:rPr>
        <w:t xml:space="preserve">, </w:t>
      </w:r>
      <w:r>
        <w:rPr>
          <w:rFonts w:ascii="Gothic720 BT" w:hAnsi="Gothic720 BT" w:cs="Arial"/>
        </w:rPr>
        <w:t>todas de este</w:t>
      </w:r>
      <w:r w:rsidRPr="00E42194">
        <w:rPr>
          <w:rFonts w:ascii="Gothic720 BT" w:hAnsi="Gothic720 BT" w:cs="Arial"/>
        </w:rPr>
        <w:t xml:space="preserve"> Instituto, para los efectos conducentes.</w:t>
      </w:r>
    </w:p>
    <w:p w:rsidR="00E0684D" w:rsidRDefault="00E0684D" w:rsidP="00E0684D">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E0684D" w:rsidRPr="003C5269" w:rsidRDefault="00E0684D" w:rsidP="00E0684D">
      <w:pPr>
        <w:spacing w:after="0"/>
        <w:jc w:val="both"/>
        <w:rPr>
          <w:rFonts w:ascii="Gothic720 BT" w:hAnsi="Gothic720 BT"/>
        </w:rPr>
      </w:pPr>
    </w:p>
    <w:p w:rsidR="00E0684D" w:rsidRPr="003C5269" w:rsidRDefault="00E0684D" w:rsidP="00E0684D">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el Encargado de Despacho de la Secretaría Ejecutiva</w:t>
      </w:r>
      <w:r w:rsidRPr="003C5269">
        <w:rPr>
          <w:rFonts w:ascii="Gothic720 BT" w:hAnsi="Gothic720 BT"/>
        </w:rPr>
        <w:t xml:space="preserve">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E0684D" w:rsidRDefault="00E0684D" w:rsidP="00E0684D">
      <w:pPr>
        <w:spacing w:after="0"/>
        <w:jc w:val="both"/>
        <w:rPr>
          <w:rFonts w:ascii="Gothic720 BT" w:hAnsi="Gothic720 BT"/>
          <w:b/>
          <w:sz w:val="18"/>
        </w:rPr>
      </w:pPr>
    </w:p>
    <w:p w:rsidR="00E0684D" w:rsidRPr="003C5269" w:rsidRDefault="00E0684D" w:rsidP="00E0684D">
      <w:pPr>
        <w:spacing w:after="0"/>
        <w:jc w:val="both"/>
        <w:rPr>
          <w:rFonts w:ascii="Gothic720 BT" w:hAnsi="Gothic720 BT"/>
          <w:b/>
          <w:sz w:val="18"/>
        </w:rPr>
      </w:pPr>
    </w:p>
    <w:p w:rsidR="00E0684D" w:rsidRPr="003C5269" w:rsidRDefault="00E0684D" w:rsidP="00E0684D">
      <w:pPr>
        <w:spacing w:after="0"/>
        <w:jc w:val="both"/>
        <w:rPr>
          <w:rFonts w:ascii="Gothic720 BT" w:hAnsi="Gothic720 BT"/>
          <w:b/>
        </w:rPr>
      </w:pPr>
    </w:p>
    <w:p w:rsidR="00E0684D" w:rsidRDefault="00E0684D" w:rsidP="00E0684D">
      <w:pPr>
        <w:spacing w:after="0"/>
        <w:jc w:val="center"/>
        <w:rPr>
          <w:rFonts w:ascii="Gothic720 BT" w:hAnsi="Gothic720 BT"/>
          <w:b/>
        </w:rPr>
      </w:pPr>
      <w:r>
        <w:rPr>
          <w:rFonts w:ascii="Gothic720 BT" w:hAnsi="Gothic720 BT"/>
          <w:b/>
        </w:rPr>
        <w:t>Mtro. Carlos Alejandro Pérez Espíndola</w:t>
      </w:r>
    </w:p>
    <w:p w:rsidR="00E0684D" w:rsidRPr="003C5269" w:rsidRDefault="00E0684D" w:rsidP="00E0684D">
      <w:pPr>
        <w:spacing w:after="0"/>
        <w:jc w:val="center"/>
        <w:rPr>
          <w:rFonts w:ascii="Gothic720 BT" w:hAnsi="Gothic720 BT"/>
        </w:rPr>
      </w:pPr>
      <w:r>
        <w:rPr>
          <w:rFonts w:ascii="Gothic720 BT" w:hAnsi="Gothic720 BT"/>
        </w:rPr>
        <w:t>Encargado de despacho de la Secretaría Ejecutiva</w:t>
      </w:r>
      <w:r>
        <w:rPr>
          <w:rFonts w:ascii="Gothic720 BT" w:hAnsi="Gothic720 BT"/>
          <w:b/>
        </w:rPr>
        <w:t xml:space="preserve"> </w:t>
      </w:r>
    </w:p>
    <w:p w:rsidR="009E6AAC" w:rsidRDefault="009E6AAC" w:rsidP="00E0684D">
      <w:pPr>
        <w:spacing w:after="160" w:line="259" w:lineRule="auto"/>
        <w:rPr>
          <w:rFonts w:ascii="Gothic720 BT" w:hAnsi="Gothic720 BT"/>
        </w:rPr>
      </w:pPr>
      <w:bookmarkStart w:id="0" w:name="_GoBack"/>
      <w:bookmarkEnd w:id="0"/>
    </w:p>
    <w:sectPr w:rsidR="009E6AAC" w:rsidSect="00DC0F9D">
      <w:footerReference w:type="default" r:id="rId9"/>
      <w:pgSz w:w="12240" w:h="15840"/>
      <w:pgMar w:top="1418" w:right="1418" w:bottom="1418" w:left="26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0E" w:rsidRDefault="00035C0E" w:rsidP="008B1C9A">
      <w:pPr>
        <w:spacing w:after="0" w:line="240" w:lineRule="auto"/>
      </w:pPr>
      <w:r>
        <w:separator/>
      </w:r>
    </w:p>
  </w:endnote>
  <w:endnote w:type="continuationSeparator" w:id="0">
    <w:p w:rsidR="00035C0E" w:rsidRDefault="00035C0E" w:rsidP="008B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744714447"/>
      <w:docPartObj>
        <w:docPartGallery w:val="Page Numbers (Bottom of Page)"/>
        <w:docPartUnique/>
      </w:docPartObj>
    </w:sdtPr>
    <w:sdtEndPr/>
    <w:sdtContent>
      <w:p w:rsidR="00D23B49" w:rsidRPr="00F97141" w:rsidRDefault="00D23B49">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E0684D" w:rsidRPr="00E0684D">
          <w:rPr>
            <w:rFonts w:ascii="Gothic720 BT" w:hAnsi="Gothic720 BT"/>
            <w:noProof/>
            <w:color w:val="FFFFFF" w:themeColor="background1"/>
            <w:sz w:val="16"/>
            <w:szCs w:val="16"/>
            <w:lang w:val="es-ES"/>
          </w:rPr>
          <w:t>3</w:t>
        </w:r>
        <w:r w:rsidRPr="00F97141">
          <w:rPr>
            <w:rFonts w:ascii="Gothic720 BT" w:hAnsi="Gothic720 BT"/>
            <w:color w:val="FFFFFF" w:themeColor="background1"/>
            <w:sz w:val="16"/>
            <w:szCs w:val="16"/>
          </w:rPr>
          <w:fldChar w:fldCharType="end"/>
        </w:r>
      </w:p>
    </w:sdtContent>
  </w:sdt>
  <w:p w:rsidR="00D23B49" w:rsidRPr="00656143" w:rsidRDefault="00D23B49">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0E" w:rsidRDefault="00035C0E" w:rsidP="008B1C9A">
      <w:pPr>
        <w:spacing w:after="0" w:line="240" w:lineRule="auto"/>
      </w:pPr>
      <w:r>
        <w:separator/>
      </w:r>
    </w:p>
  </w:footnote>
  <w:footnote w:type="continuationSeparator" w:id="0">
    <w:p w:rsidR="00035C0E" w:rsidRDefault="00035C0E" w:rsidP="008B1C9A">
      <w:pPr>
        <w:spacing w:after="0" w:line="240" w:lineRule="auto"/>
      </w:pPr>
      <w:r>
        <w:continuationSeparator/>
      </w:r>
    </w:p>
  </w:footnote>
  <w:footnote w:id="1">
    <w:p w:rsidR="00E0684D" w:rsidRPr="003A4D82" w:rsidRDefault="00E0684D" w:rsidP="00E0684D">
      <w:pPr>
        <w:pStyle w:val="Textonotapie"/>
        <w:jc w:val="both"/>
        <w:rPr>
          <w:rFonts w:ascii="Gothic720 BT" w:hAnsi="Gothic720 BT"/>
          <w:sz w:val="16"/>
          <w:szCs w:val="16"/>
        </w:rPr>
      </w:pPr>
      <w:r w:rsidRPr="003A4D82">
        <w:rPr>
          <w:rStyle w:val="Refdenotaalpie"/>
          <w:rFonts w:ascii="Gothic720 BT" w:hAnsi="Gothic720 BT"/>
          <w:sz w:val="16"/>
          <w:szCs w:val="16"/>
        </w:rPr>
        <w:footnoteRef/>
      </w:r>
      <w:r w:rsidRPr="003A4D82">
        <w:rPr>
          <w:rFonts w:ascii="Gothic720 BT" w:hAnsi="Gothic720 BT"/>
          <w:sz w:val="16"/>
          <w:szCs w:val="16"/>
        </w:rPr>
        <w:t xml:space="preserve"> Las fechas que se señalan en lo subsecuente, salvo mención diversa, corresponden a dos mil veinte.</w:t>
      </w:r>
    </w:p>
  </w:footnote>
  <w:footnote w:id="2">
    <w:p w:rsidR="00E0684D" w:rsidRPr="003A4D82" w:rsidRDefault="00E0684D" w:rsidP="00E0684D">
      <w:pPr>
        <w:pStyle w:val="Textonotapie"/>
        <w:jc w:val="both"/>
        <w:rPr>
          <w:rFonts w:ascii="Gothic720 BT" w:hAnsi="Gothic720 BT"/>
          <w:sz w:val="16"/>
          <w:szCs w:val="16"/>
        </w:rPr>
      </w:pPr>
      <w:r w:rsidRPr="003A4D82">
        <w:rPr>
          <w:rStyle w:val="Refdenotaalpie"/>
          <w:rFonts w:ascii="Gothic720 BT" w:hAnsi="Gothic720 BT"/>
          <w:sz w:val="16"/>
          <w:szCs w:val="16"/>
        </w:rPr>
        <w:footnoteRef/>
      </w:r>
      <w:r w:rsidRPr="003A4D82">
        <w:rPr>
          <w:rFonts w:ascii="Gothic720 BT" w:hAnsi="Gothic720 BT"/>
          <w:sz w:val="16"/>
          <w:szCs w:val="16"/>
        </w:rPr>
        <w:t xml:space="preserve"> En adelante Instituto Nacional.</w:t>
      </w:r>
    </w:p>
  </w:footnote>
  <w:footnote w:id="3">
    <w:p w:rsidR="00E0684D" w:rsidRPr="003A4D82" w:rsidRDefault="00E0684D" w:rsidP="00E0684D">
      <w:pPr>
        <w:pStyle w:val="Textonotapie"/>
        <w:jc w:val="both"/>
        <w:rPr>
          <w:rFonts w:ascii="Gothic720 BT" w:hAnsi="Gothic720 BT"/>
          <w:sz w:val="16"/>
          <w:szCs w:val="16"/>
        </w:rPr>
      </w:pPr>
      <w:r w:rsidRPr="003A4D82">
        <w:rPr>
          <w:rStyle w:val="Refdenotaalpie"/>
          <w:rFonts w:ascii="Gothic720 BT" w:hAnsi="Gothic720 BT"/>
          <w:sz w:val="16"/>
          <w:szCs w:val="16"/>
        </w:rPr>
        <w:footnoteRef/>
      </w:r>
      <w:r w:rsidRPr="003A4D82">
        <w:rPr>
          <w:rFonts w:ascii="Gothic720 BT" w:hAnsi="Gothic720 BT"/>
          <w:sz w:val="16"/>
          <w:szCs w:val="16"/>
        </w:rPr>
        <w:t xml:space="preserve"> Oficio de acreditación del Partido Político Nacional Encuentro Solidario; Constancia de nombramiento como representante ante el organismo público local electoral del “Partido Encuentro Solidario” ante el Consejo General de este Instituto; así como, Certificación de la Asamblea Nacional constitutiva de la organización denominada “Encuentro Solidario”, programada en el desahogo del procedimiento para obtener el registro como partido político nacional bajo la denominación “Partido Encuentro Solidario”, realizada en la Ciudad de México.</w:t>
      </w:r>
    </w:p>
  </w:footnote>
  <w:footnote w:id="4">
    <w:p w:rsidR="00E0684D" w:rsidRPr="003A4D82" w:rsidRDefault="00E0684D" w:rsidP="00E0684D">
      <w:pPr>
        <w:pStyle w:val="Textonotapie"/>
        <w:jc w:val="both"/>
        <w:rPr>
          <w:rFonts w:ascii="Gothic720 BT" w:hAnsi="Gothic720 BT"/>
          <w:sz w:val="16"/>
          <w:szCs w:val="16"/>
        </w:rPr>
      </w:pPr>
      <w:r w:rsidRPr="003A4D82">
        <w:rPr>
          <w:rStyle w:val="Refdenotaalpie"/>
          <w:rFonts w:ascii="Gothic720 BT" w:hAnsi="Gothic720 BT"/>
          <w:sz w:val="16"/>
          <w:szCs w:val="16"/>
        </w:rPr>
        <w:footnoteRef/>
      </w:r>
      <w:r w:rsidRPr="003A4D82">
        <w:rPr>
          <w:rFonts w:ascii="Gothic720 BT" w:hAnsi="Gothic720 BT"/>
          <w:sz w:val="16"/>
          <w:szCs w:val="16"/>
        </w:rPr>
        <w:t xml:space="preserve"> En adelante Instituto.</w:t>
      </w:r>
    </w:p>
  </w:footnote>
  <w:footnote w:id="5">
    <w:p w:rsidR="00E0684D" w:rsidRPr="003A4D82" w:rsidRDefault="00E0684D" w:rsidP="00E0684D">
      <w:pPr>
        <w:pStyle w:val="Textonotapie"/>
        <w:jc w:val="both"/>
        <w:rPr>
          <w:rFonts w:ascii="Gothic720 BT" w:hAnsi="Gothic720 BT"/>
          <w:sz w:val="16"/>
          <w:szCs w:val="16"/>
        </w:rPr>
      </w:pPr>
      <w:r w:rsidRPr="003A4D82">
        <w:rPr>
          <w:rStyle w:val="Refdenotaalpie"/>
          <w:rFonts w:ascii="Gothic720 BT" w:hAnsi="Gothic720 BT"/>
          <w:sz w:val="16"/>
          <w:szCs w:val="16"/>
        </w:rPr>
        <w:footnoteRef/>
      </w:r>
      <w:r w:rsidRPr="003A4D82">
        <w:rPr>
          <w:rFonts w:ascii="Gothic720 BT" w:hAnsi="Gothic720 BT"/>
          <w:sz w:val="16"/>
          <w:szCs w:val="16"/>
        </w:rPr>
        <w:t xml:space="preserve"> De conformidad con el proveído emitido en dicha fecha, visible a foja</w:t>
      </w:r>
      <w:r>
        <w:rPr>
          <w:rFonts w:ascii="Gothic720 BT" w:hAnsi="Gothic720 BT"/>
          <w:sz w:val="16"/>
          <w:szCs w:val="16"/>
        </w:rPr>
        <w:t xml:space="preserve"> 196</w:t>
      </w:r>
      <w:r w:rsidRPr="003A4D82">
        <w:rPr>
          <w:rFonts w:ascii="Gothic720 BT" w:hAnsi="Gothic720 BT"/>
          <w:sz w:val="16"/>
          <w:szCs w:val="16"/>
        </w:rPr>
        <w:t xml:space="preserve"> del expediente en que se actúa.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637A"/>
    <w:multiLevelType w:val="hybridMultilevel"/>
    <w:tmpl w:val="0940180C"/>
    <w:lvl w:ilvl="0" w:tplc="9B5CA728">
      <w:start w:val="1"/>
      <w:numFmt w:val="bullet"/>
      <w:lvlText w:val=""/>
      <w:lvlJc w:val="left"/>
      <w:pPr>
        <w:ind w:left="1287"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2F4607"/>
    <w:multiLevelType w:val="hybridMultilevel"/>
    <w:tmpl w:val="A24E1F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310364"/>
    <w:multiLevelType w:val="hybridMultilevel"/>
    <w:tmpl w:val="A24E1F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42611D"/>
    <w:multiLevelType w:val="hybridMultilevel"/>
    <w:tmpl w:val="D6168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A"/>
    <w:rsid w:val="00011F3C"/>
    <w:rsid w:val="00032580"/>
    <w:rsid w:val="00034C58"/>
    <w:rsid w:val="00035C0E"/>
    <w:rsid w:val="000374D7"/>
    <w:rsid w:val="000542AF"/>
    <w:rsid w:val="0005515C"/>
    <w:rsid w:val="00056011"/>
    <w:rsid w:val="00063B87"/>
    <w:rsid w:val="000646B0"/>
    <w:rsid w:val="00074E47"/>
    <w:rsid w:val="0009231C"/>
    <w:rsid w:val="00092962"/>
    <w:rsid w:val="00092A3D"/>
    <w:rsid w:val="000B0255"/>
    <w:rsid w:val="00121952"/>
    <w:rsid w:val="00132DFF"/>
    <w:rsid w:val="001443D8"/>
    <w:rsid w:val="00147191"/>
    <w:rsid w:val="00147A6C"/>
    <w:rsid w:val="00160321"/>
    <w:rsid w:val="001605E1"/>
    <w:rsid w:val="001658C8"/>
    <w:rsid w:val="00174303"/>
    <w:rsid w:val="001743BE"/>
    <w:rsid w:val="001803AF"/>
    <w:rsid w:val="00180963"/>
    <w:rsid w:val="00181720"/>
    <w:rsid w:val="001933E5"/>
    <w:rsid w:val="001A3FB3"/>
    <w:rsid w:val="001B2734"/>
    <w:rsid w:val="001C344C"/>
    <w:rsid w:val="001C3686"/>
    <w:rsid w:val="001C4D58"/>
    <w:rsid w:val="001C69E5"/>
    <w:rsid w:val="001C78FA"/>
    <w:rsid w:val="001D04B9"/>
    <w:rsid w:val="001D14CF"/>
    <w:rsid w:val="001E1A2B"/>
    <w:rsid w:val="001F4D5C"/>
    <w:rsid w:val="001F589B"/>
    <w:rsid w:val="002308E2"/>
    <w:rsid w:val="002313EE"/>
    <w:rsid w:val="00242319"/>
    <w:rsid w:val="00245B9F"/>
    <w:rsid w:val="00246F44"/>
    <w:rsid w:val="00270801"/>
    <w:rsid w:val="00271935"/>
    <w:rsid w:val="00275AF6"/>
    <w:rsid w:val="00280770"/>
    <w:rsid w:val="00280E12"/>
    <w:rsid w:val="0028213C"/>
    <w:rsid w:val="00283E99"/>
    <w:rsid w:val="002B2656"/>
    <w:rsid w:val="002B5099"/>
    <w:rsid w:val="002C24CE"/>
    <w:rsid w:val="002E30FE"/>
    <w:rsid w:val="002E5EA2"/>
    <w:rsid w:val="002F3731"/>
    <w:rsid w:val="002F6B52"/>
    <w:rsid w:val="0030494A"/>
    <w:rsid w:val="00314713"/>
    <w:rsid w:val="00315765"/>
    <w:rsid w:val="0033007E"/>
    <w:rsid w:val="00330E49"/>
    <w:rsid w:val="00346FEF"/>
    <w:rsid w:val="003650B2"/>
    <w:rsid w:val="003654B5"/>
    <w:rsid w:val="003673DD"/>
    <w:rsid w:val="003A4D82"/>
    <w:rsid w:val="003A66CA"/>
    <w:rsid w:val="003B3D78"/>
    <w:rsid w:val="003C5269"/>
    <w:rsid w:val="003D1880"/>
    <w:rsid w:val="003E108B"/>
    <w:rsid w:val="003E266D"/>
    <w:rsid w:val="003F0A10"/>
    <w:rsid w:val="00421ECD"/>
    <w:rsid w:val="004229E9"/>
    <w:rsid w:val="00426178"/>
    <w:rsid w:val="00427597"/>
    <w:rsid w:val="004521A5"/>
    <w:rsid w:val="00454A67"/>
    <w:rsid w:val="004565FE"/>
    <w:rsid w:val="00460048"/>
    <w:rsid w:val="00470987"/>
    <w:rsid w:val="00470A1F"/>
    <w:rsid w:val="004749B3"/>
    <w:rsid w:val="00493231"/>
    <w:rsid w:val="0049367C"/>
    <w:rsid w:val="004B1E83"/>
    <w:rsid w:val="004C4B29"/>
    <w:rsid w:val="004C637C"/>
    <w:rsid w:val="004D1798"/>
    <w:rsid w:val="004E0DDA"/>
    <w:rsid w:val="004E5E7B"/>
    <w:rsid w:val="0050542A"/>
    <w:rsid w:val="005056BA"/>
    <w:rsid w:val="00507D8F"/>
    <w:rsid w:val="00522106"/>
    <w:rsid w:val="00522E47"/>
    <w:rsid w:val="00560590"/>
    <w:rsid w:val="0057003C"/>
    <w:rsid w:val="00571389"/>
    <w:rsid w:val="00572DC1"/>
    <w:rsid w:val="005947A9"/>
    <w:rsid w:val="005A2835"/>
    <w:rsid w:val="005B1E2A"/>
    <w:rsid w:val="005B6532"/>
    <w:rsid w:val="005C34EB"/>
    <w:rsid w:val="005E0913"/>
    <w:rsid w:val="005E261A"/>
    <w:rsid w:val="005E6CA1"/>
    <w:rsid w:val="005E7A69"/>
    <w:rsid w:val="005F09EA"/>
    <w:rsid w:val="005F142A"/>
    <w:rsid w:val="00613D10"/>
    <w:rsid w:val="00614E68"/>
    <w:rsid w:val="00621210"/>
    <w:rsid w:val="00624132"/>
    <w:rsid w:val="00627784"/>
    <w:rsid w:val="00627F36"/>
    <w:rsid w:val="006366EA"/>
    <w:rsid w:val="006412A5"/>
    <w:rsid w:val="006447F6"/>
    <w:rsid w:val="006516CB"/>
    <w:rsid w:val="00656143"/>
    <w:rsid w:val="006603C0"/>
    <w:rsid w:val="0066610D"/>
    <w:rsid w:val="006851AC"/>
    <w:rsid w:val="00693E69"/>
    <w:rsid w:val="006A2A7F"/>
    <w:rsid w:val="006B028E"/>
    <w:rsid w:val="006B1B23"/>
    <w:rsid w:val="006C3110"/>
    <w:rsid w:val="006D1B92"/>
    <w:rsid w:val="006D66C2"/>
    <w:rsid w:val="006F0650"/>
    <w:rsid w:val="006F35D7"/>
    <w:rsid w:val="006F6D49"/>
    <w:rsid w:val="007123CA"/>
    <w:rsid w:val="007204D2"/>
    <w:rsid w:val="007221BF"/>
    <w:rsid w:val="0072316A"/>
    <w:rsid w:val="0072770E"/>
    <w:rsid w:val="00731DF6"/>
    <w:rsid w:val="00757B94"/>
    <w:rsid w:val="00762148"/>
    <w:rsid w:val="00780349"/>
    <w:rsid w:val="007851DA"/>
    <w:rsid w:val="007900EA"/>
    <w:rsid w:val="007A04BE"/>
    <w:rsid w:val="007B5CF1"/>
    <w:rsid w:val="00800C36"/>
    <w:rsid w:val="00802B55"/>
    <w:rsid w:val="008077B9"/>
    <w:rsid w:val="00822678"/>
    <w:rsid w:val="00840746"/>
    <w:rsid w:val="00862F22"/>
    <w:rsid w:val="0087522E"/>
    <w:rsid w:val="008A2DEF"/>
    <w:rsid w:val="008B1C9A"/>
    <w:rsid w:val="008C64C6"/>
    <w:rsid w:val="008C6961"/>
    <w:rsid w:val="008D0B59"/>
    <w:rsid w:val="008D19F8"/>
    <w:rsid w:val="008E2DA5"/>
    <w:rsid w:val="00910702"/>
    <w:rsid w:val="0091085E"/>
    <w:rsid w:val="00925554"/>
    <w:rsid w:val="00936531"/>
    <w:rsid w:val="00951866"/>
    <w:rsid w:val="0095559D"/>
    <w:rsid w:val="00956226"/>
    <w:rsid w:val="00956D17"/>
    <w:rsid w:val="009A476A"/>
    <w:rsid w:val="009C77C0"/>
    <w:rsid w:val="009D2947"/>
    <w:rsid w:val="009D51B6"/>
    <w:rsid w:val="009D63FD"/>
    <w:rsid w:val="009E3100"/>
    <w:rsid w:val="009E3D11"/>
    <w:rsid w:val="009E5419"/>
    <w:rsid w:val="009E6AAC"/>
    <w:rsid w:val="009F0693"/>
    <w:rsid w:val="00A01774"/>
    <w:rsid w:val="00A03B18"/>
    <w:rsid w:val="00A13913"/>
    <w:rsid w:val="00A24C3E"/>
    <w:rsid w:val="00A33727"/>
    <w:rsid w:val="00A563EC"/>
    <w:rsid w:val="00A56F64"/>
    <w:rsid w:val="00A57FF6"/>
    <w:rsid w:val="00A61FDE"/>
    <w:rsid w:val="00A6655D"/>
    <w:rsid w:val="00A70BC6"/>
    <w:rsid w:val="00A70FDE"/>
    <w:rsid w:val="00A91FC4"/>
    <w:rsid w:val="00AD2064"/>
    <w:rsid w:val="00AD663D"/>
    <w:rsid w:val="00AE1FC7"/>
    <w:rsid w:val="00B15DFE"/>
    <w:rsid w:val="00B172D0"/>
    <w:rsid w:val="00B330AC"/>
    <w:rsid w:val="00B37190"/>
    <w:rsid w:val="00B37840"/>
    <w:rsid w:val="00B72706"/>
    <w:rsid w:val="00B8474A"/>
    <w:rsid w:val="00BB2E23"/>
    <w:rsid w:val="00BC3E3C"/>
    <w:rsid w:val="00BD43E9"/>
    <w:rsid w:val="00BD5F7A"/>
    <w:rsid w:val="00BF5321"/>
    <w:rsid w:val="00BF7C8D"/>
    <w:rsid w:val="00C01213"/>
    <w:rsid w:val="00C04903"/>
    <w:rsid w:val="00C16621"/>
    <w:rsid w:val="00C26298"/>
    <w:rsid w:val="00C325BC"/>
    <w:rsid w:val="00C45E16"/>
    <w:rsid w:val="00C54287"/>
    <w:rsid w:val="00C72B78"/>
    <w:rsid w:val="00C849C7"/>
    <w:rsid w:val="00C86932"/>
    <w:rsid w:val="00C86E31"/>
    <w:rsid w:val="00C969C8"/>
    <w:rsid w:val="00CB1610"/>
    <w:rsid w:val="00CC1AAC"/>
    <w:rsid w:val="00CC34EA"/>
    <w:rsid w:val="00CC6B79"/>
    <w:rsid w:val="00CC6C6F"/>
    <w:rsid w:val="00CD19B6"/>
    <w:rsid w:val="00CD5AE0"/>
    <w:rsid w:val="00CF6A46"/>
    <w:rsid w:val="00D017E1"/>
    <w:rsid w:val="00D0204F"/>
    <w:rsid w:val="00D077CB"/>
    <w:rsid w:val="00D15727"/>
    <w:rsid w:val="00D23B49"/>
    <w:rsid w:val="00D32B2B"/>
    <w:rsid w:val="00D335EC"/>
    <w:rsid w:val="00D33D64"/>
    <w:rsid w:val="00D41C36"/>
    <w:rsid w:val="00D4489A"/>
    <w:rsid w:val="00D72A28"/>
    <w:rsid w:val="00D72BF5"/>
    <w:rsid w:val="00D75BC1"/>
    <w:rsid w:val="00D8705D"/>
    <w:rsid w:val="00DA5D86"/>
    <w:rsid w:val="00DA6A64"/>
    <w:rsid w:val="00DC0F9D"/>
    <w:rsid w:val="00DE1D2D"/>
    <w:rsid w:val="00DF07C0"/>
    <w:rsid w:val="00DF5917"/>
    <w:rsid w:val="00E03B40"/>
    <w:rsid w:val="00E0684D"/>
    <w:rsid w:val="00E07FE0"/>
    <w:rsid w:val="00E12ABE"/>
    <w:rsid w:val="00E42194"/>
    <w:rsid w:val="00E544D1"/>
    <w:rsid w:val="00E572AF"/>
    <w:rsid w:val="00E6529B"/>
    <w:rsid w:val="00E66B42"/>
    <w:rsid w:val="00E91425"/>
    <w:rsid w:val="00E9370C"/>
    <w:rsid w:val="00E937ED"/>
    <w:rsid w:val="00E94FB4"/>
    <w:rsid w:val="00ED6A10"/>
    <w:rsid w:val="00EE1A2F"/>
    <w:rsid w:val="00EE481D"/>
    <w:rsid w:val="00F2158C"/>
    <w:rsid w:val="00F401AB"/>
    <w:rsid w:val="00F42254"/>
    <w:rsid w:val="00F4355F"/>
    <w:rsid w:val="00F5796D"/>
    <w:rsid w:val="00F63321"/>
    <w:rsid w:val="00F670E2"/>
    <w:rsid w:val="00F701EE"/>
    <w:rsid w:val="00F770C6"/>
    <w:rsid w:val="00F97141"/>
    <w:rsid w:val="00FA380C"/>
    <w:rsid w:val="00FC4165"/>
    <w:rsid w:val="00FD0634"/>
    <w:rsid w:val="00FD691F"/>
    <w:rsid w:val="00FE08AD"/>
    <w:rsid w:val="00FE1BC9"/>
    <w:rsid w:val="00FF1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BBB2-F85F-4A57-B62C-6CA24DE4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Noemi.Sabino</dc:creator>
  <cp:lastModifiedBy>DEAJ</cp:lastModifiedBy>
  <cp:revision>5</cp:revision>
  <cp:lastPrinted>2020-10-16T15:55:00Z</cp:lastPrinted>
  <dcterms:created xsi:type="dcterms:W3CDTF">2020-10-16T15:38:00Z</dcterms:created>
  <dcterms:modified xsi:type="dcterms:W3CDTF">2020-10-16T21:20:00Z</dcterms:modified>
</cp:coreProperties>
</file>