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0A" w:rsidRPr="00427945" w:rsidRDefault="005E1C0A" w:rsidP="005E1C0A">
      <w:pPr>
        <w:ind w:right="-235"/>
        <w:rPr>
          <w:rFonts w:ascii="Gothic720 BT" w:hAnsi="Gothic720 BT"/>
          <w:sz w:val="10"/>
        </w:rPr>
      </w:pPr>
    </w:p>
    <w:tbl>
      <w:tblPr>
        <w:tblStyle w:val="Tablaconcuadrcula"/>
        <w:tblpPr w:leftFromText="141" w:rightFromText="141" w:vertAnchor="text" w:horzAnchor="margin" w:tblpY="-1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3"/>
      </w:tblGrid>
      <w:tr w:rsidR="00141CAB" w:rsidTr="00F665CF">
        <w:trPr>
          <w:trHeight w:val="2115"/>
        </w:trPr>
        <w:tc>
          <w:tcPr>
            <w:tcW w:w="9493" w:type="dxa"/>
          </w:tcPr>
          <w:p w:rsidR="002519C1" w:rsidRPr="0091732A" w:rsidRDefault="002519C1" w:rsidP="002519C1">
            <w:pPr>
              <w:tabs>
                <w:tab w:val="left" w:pos="4678"/>
              </w:tabs>
              <w:spacing w:before="100" w:beforeAutospacing="1" w:after="100" w:afterAutospacing="1" w:line="240" w:lineRule="auto"/>
              <w:ind w:left="4395"/>
              <w:jc w:val="both"/>
              <w:rPr>
                <w:rFonts w:ascii="Gothic720 BT" w:hAnsi="Gothic720 BT" w:cs="Arial"/>
                <w:lang w:eastAsia="es-ES"/>
              </w:rPr>
            </w:pPr>
            <w:r w:rsidRPr="0091732A">
              <w:rPr>
                <w:rFonts w:ascii="Gothic720 BT" w:hAnsi="Gothic720 BT" w:cs="Arial"/>
                <w:b/>
                <w:lang w:eastAsia="es-ES"/>
              </w:rPr>
              <w:t>EXPEDIENTE:</w:t>
            </w:r>
            <w:r w:rsidRPr="0091732A">
              <w:rPr>
                <w:rFonts w:ascii="Gothic720 BT" w:hAnsi="Gothic720 BT" w:cs="Arial"/>
                <w:lang w:eastAsia="es-ES"/>
              </w:rPr>
              <w:t xml:space="preserve"> </w:t>
            </w:r>
            <w:r w:rsidRPr="00EE01B4">
              <w:rPr>
                <w:rFonts w:ascii="Gothic720 BT" w:hAnsi="Gothic720 BT"/>
              </w:rPr>
              <w:t xml:space="preserve"> IEEQ/AG/002/2020-P</w:t>
            </w:r>
          </w:p>
          <w:p w:rsidR="00517472" w:rsidRPr="0091732A" w:rsidRDefault="002519C1" w:rsidP="00517472">
            <w:pPr>
              <w:tabs>
                <w:tab w:val="left" w:pos="4678"/>
              </w:tabs>
              <w:spacing w:before="100" w:beforeAutospacing="1" w:after="100" w:afterAutospacing="1" w:line="240" w:lineRule="auto"/>
              <w:ind w:left="4395" w:right="49"/>
              <w:jc w:val="both"/>
              <w:rPr>
                <w:rFonts w:ascii="Gothic720 BT" w:hAnsi="Gothic720 BT" w:cs="Arial"/>
                <w:lang w:eastAsia="es-ES"/>
              </w:rPr>
            </w:pPr>
            <w:r w:rsidRPr="0091732A">
              <w:rPr>
                <w:rFonts w:ascii="Gothic720 BT" w:hAnsi="Gothic720 BT" w:cs="Arial"/>
                <w:b/>
                <w:lang w:eastAsia="es-ES"/>
              </w:rPr>
              <w:t>PROMOVENTE</w:t>
            </w:r>
            <w:r w:rsidRPr="0091732A">
              <w:rPr>
                <w:rFonts w:ascii="Gothic720 BT" w:hAnsi="Gothic720 BT" w:cs="Arial"/>
                <w:lang w:eastAsia="es-ES"/>
              </w:rPr>
              <w:t xml:space="preserve">: </w:t>
            </w:r>
            <w:r w:rsidR="00517472" w:rsidRPr="00517472">
              <w:rPr>
                <w:rFonts w:ascii="Gothic720 BT" w:hAnsi="Gothic720 BT" w:cs="Arial"/>
                <w:lang w:eastAsia="es-ES"/>
              </w:rPr>
              <w:t>MAURICIO RAÚL ZÚÑIGA CHÁVEZ, LUIS LEONARD DE LA CRUZ SÁNCHEZ DURÁN</w:t>
            </w:r>
            <w:r w:rsidR="00517472">
              <w:rPr>
                <w:rFonts w:ascii="Gothic720 BT" w:hAnsi="Gothic720 BT" w:cs="Arial"/>
                <w:lang w:eastAsia="es-ES"/>
              </w:rPr>
              <w:t xml:space="preserve">, </w:t>
            </w:r>
            <w:r w:rsidR="00517472">
              <w:rPr>
                <w:rFonts w:ascii="Gothic720 BT" w:hAnsi="Gothic720 BT"/>
              </w:rPr>
              <w:t xml:space="preserve"> MARÍA DEL MAR AVILÉS MEDINA</w:t>
            </w:r>
            <w:r w:rsidR="00517472">
              <w:rPr>
                <w:rFonts w:ascii="Gothic720 BT" w:hAnsi="Gothic720 BT" w:cs="Arial"/>
                <w:lang w:eastAsia="es-ES"/>
              </w:rPr>
              <w:t xml:space="preserve">  Y OTROS.</w:t>
            </w:r>
          </w:p>
          <w:p w:rsidR="00141CAB" w:rsidRDefault="00141CAB" w:rsidP="00517472">
            <w:pPr>
              <w:tabs>
                <w:tab w:val="left" w:pos="4678"/>
              </w:tabs>
              <w:spacing w:before="100" w:beforeAutospacing="1" w:after="100" w:afterAutospacing="1" w:line="240" w:lineRule="auto"/>
              <w:ind w:left="4395"/>
              <w:jc w:val="both"/>
              <w:rPr>
                <w:rFonts w:ascii="Gothic720 BT" w:hAnsi="Gothic720 BT" w:cs="Arial"/>
                <w:bCs/>
              </w:rPr>
            </w:pPr>
            <w:r w:rsidRPr="0091732A">
              <w:rPr>
                <w:rFonts w:ascii="Gothic720 BT" w:hAnsi="Gothic720 BT" w:cs="Arial"/>
                <w:b/>
                <w:lang w:eastAsia="es-ES"/>
              </w:rPr>
              <w:t>ASUNTO:</w:t>
            </w:r>
            <w:r>
              <w:rPr>
                <w:rFonts w:ascii="Gothic720 BT" w:hAnsi="Gothic720 BT" w:cs="Arial"/>
                <w:b/>
                <w:lang w:eastAsia="es-ES"/>
              </w:rPr>
              <w:t xml:space="preserve"> </w:t>
            </w:r>
            <w:r w:rsidR="00517472" w:rsidRPr="005E1C0A">
              <w:rPr>
                <w:rFonts w:ascii="Gothic720 BT" w:hAnsi="Gothic720 BT" w:cs="Arial"/>
                <w:lang w:eastAsia="es-ES"/>
              </w:rPr>
              <w:t>SE</w:t>
            </w:r>
            <w:r w:rsidR="00517472">
              <w:rPr>
                <w:rFonts w:ascii="Gothic720 BT" w:hAnsi="Gothic720 BT" w:cs="Arial"/>
                <w:b/>
                <w:lang w:eastAsia="es-ES"/>
              </w:rPr>
              <w:t xml:space="preserve"> </w:t>
            </w:r>
            <w:r w:rsidR="00517472">
              <w:rPr>
                <w:rFonts w:ascii="Gothic720 BT" w:hAnsi="Gothic720 BT" w:cs="Arial"/>
                <w:lang w:eastAsia="es-ES"/>
              </w:rPr>
              <w:t>INFORMA INCOMPETENCIA.</w:t>
            </w:r>
          </w:p>
        </w:tc>
      </w:tr>
    </w:tbl>
    <w:p w:rsidR="00517472" w:rsidRDefault="00517472" w:rsidP="00466BE0">
      <w:pPr>
        <w:tabs>
          <w:tab w:val="left" w:pos="4487"/>
        </w:tabs>
        <w:spacing w:after="0"/>
        <w:ind w:right="-235"/>
        <w:jc w:val="center"/>
        <w:rPr>
          <w:rFonts w:ascii="Gothic720 BT" w:hAnsi="Gothic720 BT" w:cs="Arial"/>
          <w:b/>
          <w:lang w:val="es-ES" w:eastAsia="es-ES"/>
        </w:rPr>
      </w:pPr>
    </w:p>
    <w:p w:rsidR="005E1C0A" w:rsidRPr="00487006" w:rsidRDefault="005E1C0A" w:rsidP="00466BE0">
      <w:pPr>
        <w:tabs>
          <w:tab w:val="left" w:pos="4487"/>
        </w:tabs>
        <w:spacing w:after="0"/>
        <w:ind w:right="-235"/>
        <w:jc w:val="center"/>
        <w:rPr>
          <w:rFonts w:ascii="Gothic720 BT" w:hAnsi="Gothic720 BT" w:cs="Arial"/>
          <w:b/>
          <w:lang w:val="es-ES" w:eastAsia="es-ES"/>
        </w:rPr>
      </w:pPr>
      <w:r w:rsidRPr="00487006">
        <w:rPr>
          <w:rFonts w:ascii="Gothic720 BT" w:hAnsi="Gothic720 BT" w:cs="Arial"/>
          <w:b/>
          <w:lang w:val="es-ES" w:eastAsia="es-ES"/>
        </w:rPr>
        <w:t>CONSTANCIA DE FIJACIÓN EN ESTRADOS</w:t>
      </w:r>
    </w:p>
    <w:p w:rsidR="005E1C0A" w:rsidRPr="00487006" w:rsidRDefault="005E1C0A" w:rsidP="00466BE0">
      <w:pPr>
        <w:tabs>
          <w:tab w:val="left" w:pos="4487"/>
        </w:tabs>
        <w:spacing w:after="0"/>
        <w:ind w:right="-235"/>
        <w:jc w:val="both"/>
        <w:rPr>
          <w:rFonts w:ascii="Gothic720 BT" w:hAnsi="Gothic720 BT" w:cs="Arial"/>
          <w:lang w:val="es-ES" w:eastAsia="es-ES"/>
        </w:rPr>
      </w:pPr>
    </w:p>
    <w:p w:rsidR="005E1C0A" w:rsidRPr="003C5269" w:rsidRDefault="005E1C0A" w:rsidP="00466BE0">
      <w:pPr>
        <w:jc w:val="both"/>
        <w:rPr>
          <w:rFonts w:ascii="Gothic720 BT" w:hAnsi="Gothic720 BT"/>
          <w:lang w:eastAsia="es-MX"/>
        </w:rPr>
      </w:pPr>
      <w:r w:rsidRPr="003C5269">
        <w:rPr>
          <w:rFonts w:ascii="Gothic720 BT" w:hAnsi="Gothic720 BT"/>
          <w:lang w:eastAsia="es-MX"/>
        </w:rPr>
        <w:t xml:space="preserve">En Santiago de Querétaro, Querétaro, </w:t>
      </w:r>
      <w:r w:rsidR="00D666D8">
        <w:rPr>
          <w:rFonts w:ascii="Gothic720 BT" w:hAnsi="Gothic720 BT"/>
          <w:lang w:eastAsia="es-ES"/>
        </w:rPr>
        <w:t>trece</w:t>
      </w:r>
      <w:r w:rsidRPr="003C5269">
        <w:rPr>
          <w:rFonts w:ascii="Gothic720 BT" w:hAnsi="Gothic720 BT"/>
          <w:lang w:eastAsia="es-ES"/>
        </w:rPr>
        <w:t xml:space="preserve"> </w:t>
      </w:r>
      <w:r w:rsidRPr="003C5269">
        <w:rPr>
          <w:rFonts w:ascii="Gothic720 BT" w:eastAsia="Times New Roman" w:hAnsi="Gothic720 BT" w:cs="Arial"/>
          <w:color w:val="000000"/>
          <w:lang w:eastAsia="es-ES"/>
        </w:rPr>
        <w:t xml:space="preserve">de </w:t>
      </w:r>
      <w:r w:rsidR="00B1611A">
        <w:rPr>
          <w:rFonts w:ascii="Gothic720 BT" w:eastAsia="Times New Roman" w:hAnsi="Gothic720 BT" w:cs="Arial"/>
          <w:color w:val="000000"/>
          <w:lang w:eastAsia="es-ES"/>
        </w:rPr>
        <w:t>noviembre</w:t>
      </w:r>
      <w:r w:rsidRPr="003C5269">
        <w:rPr>
          <w:rFonts w:ascii="Gothic720 BT" w:hAnsi="Gothic720 BT"/>
          <w:lang w:eastAsia="es-MX"/>
        </w:rPr>
        <w:t xml:space="preserve"> de dos mil veinte, </w:t>
      </w:r>
      <w:r w:rsidRPr="00460048">
        <w:rPr>
          <w:rFonts w:ascii="Gothic720 BT" w:hAnsi="Gothic720 BT"/>
          <w:lang w:eastAsia="es-MX"/>
        </w:rPr>
        <w:t>el Encargado</w:t>
      </w:r>
      <w:r>
        <w:rPr>
          <w:rFonts w:ascii="Gothic720 BT" w:hAnsi="Gothic720 BT"/>
          <w:lang w:eastAsia="es-MX"/>
        </w:rPr>
        <w:t xml:space="preserve"> de D</w:t>
      </w:r>
      <w:r w:rsidRPr="00460048">
        <w:rPr>
          <w:rFonts w:ascii="Gothic720 BT" w:hAnsi="Gothic720 BT"/>
          <w:lang w:eastAsia="es-MX"/>
        </w:rPr>
        <w:t>espacho de la Secretaría Ejecutiva</w:t>
      </w:r>
      <w:r w:rsidRPr="003C5269">
        <w:rPr>
          <w:rFonts w:ascii="Gothic720 BT" w:hAnsi="Gothic720 BT"/>
          <w:lang w:eastAsia="es-MX"/>
        </w:rPr>
        <w:t xml:space="preserve"> del Instituto Electoral del Estado de Querétaro </w:t>
      </w:r>
      <w:r w:rsidRPr="003C5269">
        <w:rPr>
          <w:rFonts w:ascii="Gothic720 BT" w:hAnsi="Gothic720 BT"/>
          <w:b/>
          <w:bCs/>
          <w:lang w:eastAsia="es-MX"/>
        </w:rPr>
        <w:t>HACE CONSTAR</w:t>
      </w:r>
      <w:r w:rsidRPr="003C5269">
        <w:rPr>
          <w:rFonts w:ascii="Gothic720 BT" w:hAnsi="Gothic720 BT"/>
          <w:lang w:eastAsia="es-MX"/>
        </w:rPr>
        <w:t xml:space="preserve"> que el día en que se actúa, se fijó en los estrados del Consejo General a través de la cédula correspondiente el proveído emitido el día en que se actúa en el expediente indicado al rubro, dichos documentos constan en </w:t>
      </w:r>
      <w:r w:rsidR="00B1611A">
        <w:rPr>
          <w:rFonts w:ascii="Gothic720 BT" w:hAnsi="Gothic720 BT"/>
          <w:lang w:eastAsia="es-MX"/>
        </w:rPr>
        <w:t>cinco</w:t>
      </w:r>
      <w:r w:rsidRPr="003C5269">
        <w:rPr>
          <w:rFonts w:ascii="Gothic720 BT" w:hAnsi="Gothic720 BT"/>
          <w:lang w:eastAsia="es-MX"/>
        </w:rPr>
        <w:t xml:space="preserve"> fojas útiles con texto por un solo lado; lo anterior para los fines y efectos legales a que haya lugar. </w:t>
      </w:r>
      <w:r w:rsidRPr="003C5269">
        <w:rPr>
          <w:rFonts w:ascii="Gothic720 BT" w:hAnsi="Gothic720 BT"/>
          <w:b/>
          <w:bCs/>
          <w:lang w:eastAsia="es-MX"/>
        </w:rPr>
        <w:t>DOY FE.</w:t>
      </w:r>
      <w:r w:rsidRPr="003C5269">
        <w:rPr>
          <w:rFonts w:ascii="Gothic720 BT" w:hAnsi="Gothic720 BT"/>
          <w:lang w:eastAsia="es-MX"/>
        </w:rPr>
        <w:t xml:space="preserve"> ----------</w:t>
      </w:r>
      <w:r>
        <w:rPr>
          <w:rFonts w:ascii="Gothic720 BT" w:hAnsi="Gothic720 BT"/>
          <w:lang w:eastAsia="es-MX"/>
        </w:rPr>
        <w:t>--------------------------</w:t>
      </w:r>
    </w:p>
    <w:p w:rsidR="005E1C0A" w:rsidRPr="003C5269" w:rsidRDefault="005E1C0A" w:rsidP="00466BE0">
      <w:pPr>
        <w:spacing w:after="0"/>
        <w:jc w:val="center"/>
        <w:rPr>
          <w:rFonts w:ascii="Gothic720 BT" w:hAnsi="Gothic720 BT"/>
          <w:lang w:eastAsia="es-MX"/>
        </w:rPr>
      </w:pPr>
    </w:p>
    <w:p w:rsidR="005E1C0A" w:rsidRPr="003C5269" w:rsidRDefault="005E1C0A" w:rsidP="00466BE0">
      <w:pPr>
        <w:spacing w:after="0"/>
        <w:jc w:val="center"/>
        <w:rPr>
          <w:rFonts w:ascii="Gothic720 BT" w:hAnsi="Gothic720 BT"/>
          <w:lang w:eastAsia="es-MX"/>
        </w:rPr>
      </w:pPr>
    </w:p>
    <w:p w:rsidR="005E1C0A" w:rsidRPr="003C5269" w:rsidRDefault="005E1C0A" w:rsidP="00466BE0">
      <w:pPr>
        <w:spacing w:after="0"/>
        <w:jc w:val="center"/>
        <w:rPr>
          <w:rFonts w:ascii="Gothic720 BT" w:hAnsi="Gothic720 BT"/>
          <w:lang w:eastAsia="es-MX"/>
        </w:rPr>
      </w:pPr>
    </w:p>
    <w:p w:rsidR="005E1C0A" w:rsidRPr="003C5269" w:rsidRDefault="005E1C0A" w:rsidP="00466BE0">
      <w:pPr>
        <w:spacing w:after="0"/>
        <w:jc w:val="both"/>
        <w:rPr>
          <w:rFonts w:ascii="Gothic720 BT" w:hAnsi="Gothic720 BT"/>
          <w:b/>
        </w:rPr>
      </w:pPr>
    </w:p>
    <w:p w:rsidR="005E1C0A" w:rsidRDefault="005E1C0A" w:rsidP="00466BE0">
      <w:pPr>
        <w:spacing w:after="0"/>
        <w:jc w:val="center"/>
        <w:rPr>
          <w:rFonts w:ascii="Gothic720 BT" w:hAnsi="Gothic720 BT"/>
          <w:b/>
        </w:rPr>
      </w:pPr>
      <w:r>
        <w:rPr>
          <w:rFonts w:ascii="Gothic720 BT" w:hAnsi="Gothic720 BT"/>
          <w:b/>
        </w:rPr>
        <w:t>Mtro. Carlos Alejandro Pérez Espíndola</w:t>
      </w:r>
    </w:p>
    <w:p w:rsidR="005E1C0A" w:rsidRDefault="005E1C0A" w:rsidP="00466BE0">
      <w:pPr>
        <w:spacing w:after="0"/>
        <w:jc w:val="center"/>
        <w:rPr>
          <w:rFonts w:ascii="Gothic720 BT" w:hAnsi="Gothic720 BT"/>
        </w:rPr>
      </w:pPr>
      <w:r>
        <w:rPr>
          <w:rFonts w:ascii="Gothic720 BT" w:hAnsi="Gothic720 BT"/>
        </w:rPr>
        <w:t>Encargado de despacho de la Secretaría Ejecutiva</w:t>
      </w:r>
    </w:p>
    <w:p w:rsidR="00730AC5" w:rsidRDefault="00730AC5" w:rsidP="00466BE0">
      <w:pPr>
        <w:spacing w:after="0"/>
        <w:jc w:val="center"/>
        <w:rPr>
          <w:rFonts w:ascii="Gothic720 BT" w:hAnsi="Gothic720 BT"/>
        </w:rPr>
      </w:pPr>
    </w:p>
    <w:p w:rsidR="00730AC5" w:rsidRPr="002D22A9" w:rsidRDefault="00730AC5" w:rsidP="00730AC5">
      <w:pPr>
        <w:rPr>
          <w:rFonts w:ascii="Gothic720 BT" w:hAnsi="Gothic720 BT"/>
          <w:sz w:val="20"/>
        </w:rPr>
      </w:pPr>
      <w:r w:rsidRPr="002D22A9">
        <w:rPr>
          <w:rFonts w:ascii="Gothic720 BT" w:hAnsi="Gothic720 BT"/>
          <w:sz w:val="16"/>
        </w:rPr>
        <w:t>Elaboró: GSMV / Revisó: UICA</w:t>
      </w:r>
      <w:r>
        <w:rPr>
          <w:rFonts w:ascii="Gothic720 BT" w:hAnsi="Gothic720 BT"/>
          <w:sz w:val="16"/>
        </w:rPr>
        <w:t xml:space="preserve"> / Validó: JRH.</w:t>
      </w:r>
    </w:p>
    <w:p w:rsidR="00730AC5" w:rsidRDefault="00730AC5" w:rsidP="00466BE0">
      <w:pPr>
        <w:spacing w:after="0"/>
        <w:jc w:val="center"/>
        <w:rPr>
          <w:rFonts w:ascii="Gothic720 BT" w:hAnsi="Gothic720 BT"/>
        </w:rPr>
      </w:pPr>
    </w:p>
    <w:p w:rsidR="00CD1945" w:rsidRDefault="00141CAB" w:rsidP="00466BE0">
      <w:pPr>
        <w:spacing w:after="160" w:line="259" w:lineRule="auto"/>
        <w:rPr>
          <w:rFonts w:ascii="Gothic720 BT" w:hAnsi="Gothic720 BT"/>
        </w:rPr>
      </w:pPr>
      <w:r>
        <w:rPr>
          <w:rFonts w:ascii="Gothic720 BT" w:hAnsi="Gothic720 BT"/>
        </w:rPr>
        <w:br w:type="page"/>
      </w:r>
    </w:p>
    <w:tbl>
      <w:tblPr>
        <w:tblStyle w:val="Tablaconcuadrcula"/>
        <w:tblpPr w:leftFromText="141" w:rightFromText="141" w:vertAnchor="text" w:horzAnchor="margin" w:tblpY="-1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3"/>
      </w:tblGrid>
      <w:tr w:rsidR="00CD1945" w:rsidTr="00130A47">
        <w:trPr>
          <w:trHeight w:val="2554"/>
        </w:trPr>
        <w:tc>
          <w:tcPr>
            <w:tcW w:w="9493" w:type="dxa"/>
          </w:tcPr>
          <w:p w:rsidR="00CD1945" w:rsidRPr="0091732A" w:rsidRDefault="00CD1945" w:rsidP="00130A47">
            <w:pPr>
              <w:tabs>
                <w:tab w:val="left" w:pos="4678"/>
              </w:tabs>
              <w:spacing w:before="100" w:beforeAutospacing="1" w:after="100" w:afterAutospacing="1" w:line="240" w:lineRule="auto"/>
              <w:ind w:left="4395"/>
              <w:jc w:val="both"/>
              <w:rPr>
                <w:rFonts w:ascii="Gothic720 BT" w:hAnsi="Gothic720 BT" w:cs="Arial"/>
                <w:lang w:eastAsia="es-ES"/>
              </w:rPr>
            </w:pPr>
            <w:r w:rsidRPr="0091732A">
              <w:rPr>
                <w:rFonts w:ascii="Gothic720 BT" w:hAnsi="Gothic720 BT" w:cs="Arial"/>
                <w:b/>
                <w:lang w:eastAsia="es-ES"/>
              </w:rPr>
              <w:lastRenderedPageBreak/>
              <w:t>EXPEDIENTE:</w:t>
            </w:r>
            <w:r w:rsidRPr="0091732A">
              <w:rPr>
                <w:rFonts w:ascii="Gothic720 BT" w:hAnsi="Gothic720 BT" w:cs="Arial"/>
                <w:lang w:eastAsia="es-ES"/>
              </w:rPr>
              <w:t xml:space="preserve"> </w:t>
            </w:r>
            <w:r w:rsidRPr="00EE01B4">
              <w:rPr>
                <w:rFonts w:ascii="Gothic720 BT" w:hAnsi="Gothic720 BT"/>
              </w:rPr>
              <w:t xml:space="preserve"> IEEQ/AG/002/2020-P</w:t>
            </w:r>
          </w:p>
          <w:p w:rsidR="00CD1945" w:rsidRPr="0091732A" w:rsidRDefault="00CD1945" w:rsidP="00130A47">
            <w:pPr>
              <w:tabs>
                <w:tab w:val="left" w:pos="4678"/>
              </w:tabs>
              <w:spacing w:before="100" w:beforeAutospacing="1" w:after="100" w:afterAutospacing="1" w:line="240" w:lineRule="auto"/>
              <w:ind w:left="4395" w:right="49"/>
              <w:jc w:val="both"/>
              <w:rPr>
                <w:rFonts w:ascii="Gothic720 BT" w:hAnsi="Gothic720 BT" w:cs="Arial"/>
                <w:lang w:eastAsia="es-ES"/>
              </w:rPr>
            </w:pPr>
            <w:r w:rsidRPr="0091732A">
              <w:rPr>
                <w:rFonts w:ascii="Gothic720 BT" w:hAnsi="Gothic720 BT" w:cs="Arial"/>
                <w:b/>
                <w:lang w:eastAsia="es-ES"/>
              </w:rPr>
              <w:t>PROMOVENTE</w:t>
            </w:r>
            <w:r w:rsidRPr="0091732A">
              <w:rPr>
                <w:rFonts w:ascii="Gothic720 BT" w:hAnsi="Gothic720 BT" w:cs="Arial"/>
                <w:lang w:eastAsia="es-ES"/>
              </w:rPr>
              <w:t xml:space="preserve">: </w:t>
            </w:r>
            <w:r w:rsidRPr="00517472">
              <w:rPr>
                <w:rFonts w:ascii="Gothic720 BT" w:hAnsi="Gothic720 BT" w:cs="Arial"/>
                <w:lang w:eastAsia="es-ES"/>
              </w:rPr>
              <w:t>MAURICIO RAÚL ZÚÑIGA CHÁVEZ, LUIS LEONARD DE LA CRUZ SÁNCHEZ DURÁN</w:t>
            </w:r>
            <w:r>
              <w:rPr>
                <w:rFonts w:ascii="Gothic720 BT" w:hAnsi="Gothic720 BT" w:cs="Arial"/>
                <w:lang w:eastAsia="es-ES"/>
              </w:rPr>
              <w:t xml:space="preserve">, </w:t>
            </w:r>
            <w:r>
              <w:rPr>
                <w:rFonts w:ascii="Gothic720 BT" w:hAnsi="Gothic720 BT"/>
              </w:rPr>
              <w:t xml:space="preserve"> MARÍA DEL MAR AVILÉS MEDINA</w:t>
            </w:r>
            <w:r>
              <w:rPr>
                <w:rFonts w:ascii="Gothic720 BT" w:hAnsi="Gothic720 BT" w:cs="Arial"/>
                <w:lang w:eastAsia="es-ES"/>
              </w:rPr>
              <w:t xml:space="preserve">  Y OTROS.</w:t>
            </w:r>
          </w:p>
          <w:p w:rsidR="00CD1945" w:rsidRPr="00022AB8" w:rsidRDefault="00CD1945" w:rsidP="00130A47">
            <w:pPr>
              <w:tabs>
                <w:tab w:val="left" w:pos="4678"/>
              </w:tabs>
              <w:spacing w:before="100" w:beforeAutospacing="1" w:after="100" w:afterAutospacing="1" w:line="240" w:lineRule="auto"/>
              <w:ind w:left="4395"/>
              <w:jc w:val="both"/>
              <w:rPr>
                <w:rFonts w:ascii="Gothic720 BT" w:hAnsi="Gothic720 BT" w:cs="Arial"/>
                <w:lang w:eastAsia="es-ES"/>
              </w:rPr>
            </w:pPr>
            <w:r w:rsidRPr="0091732A">
              <w:rPr>
                <w:rFonts w:ascii="Gothic720 BT" w:hAnsi="Gothic720 BT" w:cs="Arial"/>
                <w:b/>
                <w:lang w:eastAsia="es-ES"/>
              </w:rPr>
              <w:t>ASUNTO:</w:t>
            </w:r>
            <w:r>
              <w:rPr>
                <w:rFonts w:ascii="Gothic720 BT" w:hAnsi="Gothic720 BT" w:cs="Arial"/>
                <w:b/>
                <w:lang w:eastAsia="es-ES"/>
              </w:rPr>
              <w:t xml:space="preserve"> </w:t>
            </w:r>
            <w:r w:rsidRPr="005E1C0A">
              <w:rPr>
                <w:rFonts w:ascii="Gothic720 BT" w:hAnsi="Gothic720 BT" w:cs="Arial"/>
                <w:lang w:eastAsia="es-ES"/>
              </w:rPr>
              <w:t>SE</w:t>
            </w:r>
            <w:r>
              <w:rPr>
                <w:rFonts w:ascii="Gothic720 BT" w:hAnsi="Gothic720 BT" w:cs="Arial"/>
                <w:b/>
                <w:lang w:eastAsia="es-ES"/>
              </w:rPr>
              <w:t xml:space="preserve"> </w:t>
            </w:r>
            <w:r>
              <w:rPr>
                <w:rFonts w:ascii="Gothic720 BT" w:hAnsi="Gothic720 BT" w:cs="Arial"/>
                <w:lang w:eastAsia="es-ES"/>
              </w:rPr>
              <w:t>INFORMA INCOMPETENCIA.</w:t>
            </w:r>
          </w:p>
        </w:tc>
      </w:tr>
    </w:tbl>
    <w:p w:rsidR="00CD1945" w:rsidRDefault="00CD1945" w:rsidP="00CD1945">
      <w:pPr>
        <w:pStyle w:val="Default"/>
        <w:spacing w:before="100" w:beforeAutospacing="1" w:after="100" w:afterAutospacing="1"/>
        <w:jc w:val="both"/>
        <w:rPr>
          <w:rFonts w:ascii="Gothic720 BT" w:hAnsi="Gothic720 BT" w:cs="Arial"/>
          <w:bCs/>
          <w:color w:val="auto"/>
          <w:sz w:val="22"/>
          <w:szCs w:val="22"/>
        </w:rPr>
      </w:pPr>
    </w:p>
    <w:p w:rsidR="00CD1945" w:rsidRPr="0091732A" w:rsidRDefault="00CD1945" w:rsidP="00CD1945">
      <w:pPr>
        <w:pStyle w:val="Default"/>
        <w:spacing w:before="100" w:beforeAutospacing="1" w:after="100" w:afterAutospacing="1"/>
        <w:jc w:val="both"/>
        <w:rPr>
          <w:rFonts w:ascii="Gothic720 BT" w:hAnsi="Gothic720 BT" w:cs="Arial"/>
          <w:bCs/>
          <w:color w:val="auto"/>
          <w:sz w:val="22"/>
          <w:szCs w:val="22"/>
        </w:rPr>
      </w:pPr>
      <w:r w:rsidRPr="0091732A">
        <w:rPr>
          <w:rFonts w:ascii="Gothic720 BT" w:hAnsi="Gothic720 BT" w:cs="Arial"/>
          <w:bCs/>
          <w:color w:val="auto"/>
          <w:sz w:val="22"/>
          <w:szCs w:val="22"/>
        </w:rPr>
        <w:t xml:space="preserve">Santiago de Querétaro, Querétaro, </w:t>
      </w:r>
      <w:r>
        <w:rPr>
          <w:rFonts w:ascii="Gothic720 BT" w:hAnsi="Gothic720 BT" w:cs="Arial"/>
          <w:bCs/>
          <w:color w:val="auto"/>
          <w:sz w:val="22"/>
          <w:szCs w:val="22"/>
        </w:rPr>
        <w:t>trece</w:t>
      </w:r>
      <w:r w:rsidRPr="0091732A">
        <w:rPr>
          <w:rFonts w:ascii="Gothic720 BT" w:hAnsi="Gothic720 BT" w:cs="Arial"/>
          <w:bCs/>
          <w:color w:val="auto"/>
          <w:sz w:val="22"/>
          <w:szCs w:val="22"/>
        </w:rPr>
        <w:t xml:space="preserve"> de </w:t>
      </w:r>
      <w:r>
        <w:rPr>
          <w:rFonts w:ascii="Gothic720 BT" w:hAnsi="Gothic720 BT" w:cs="Arial"/>
          <w:bCs/>
          <w:color w:val="auto"/>
          <w:sz w:val="22"/>
          <w:szCs w:val="22"/>
        </w:rPr>
        <w:t>noviembre</w:t>
      </w:r>
      <w:r w:rsidRPr="0091732A">
        <w:rPr>
          <w:rFonts w:ascii="Gothic720 BT" w:hAnsi="Gothic720 BT" w:cs="Arial"/>
          <w:bCs/>
          <w:color w:val="auto"/>
          <w:sz w:val="22"/>
          <w:szCs w:val="22"/>
        </w:rPr>
        <w:t xml:space="preserve"> de dos mil veinte.</w:t>
      </w:r>
    </w:p>
    <w:p w:rsidR="00CD1945" w:rsidRDefault="00CD1945" w:rsidP="00CD1945">
      <w:pPr>
        <w:spacing w:after="0"/>
        <w:jc w:val="both"/>
        <w:rPr>
          <w:rFonts w:ascii="Gothic720 BT" w:hAnsi="Gothic720 BT"/>
          <w:lang w:eastAsia="es-MX"/>
        </w:rPr>
      </w:pPr>
      <w:r w:rsidRPr="00D75BF5">
        <w:rPr>
          <w:rFonts w:ascii="Gothic720 BT" w:hAnsi="Gothic720 BT"/>
          <w:b/>
        </w:rPr>
        <w:t>VISTO</w:t>
      </w:r>
      <w:r>
        <w:rPr>
          <w:rFonts w:ascii="Gothic720 BT" w:hAnsi="Gothic720 BT"/>
        </w:rPr>
        <w:t xml:space="preserve"> los escritos y anexos</w:t>
      </w:r>
      <w:r>
        <w:rPr>
          <w:rStyle w:val="Refdenotaalpie"/>
          <w:rFonts w:ascii="Gothic720 BT" w:hAnsi="Gothic720 BT"/>
        </w:rPr>
        <w:footnoteReference w:id="1"/>
      </w:r>
      <w:r>
        <w:rPr>
          <w:rFonts w:ascii="Gothic720 BT" w:hAnsi="Gothic720 BT"/>
        </w:rPr>
        <w:t xml:space="preserve"> recibidos </w:t>
      </w:r>
      <w:r w:rsidRPr="00627784">
        <w:rPr>
          <w:rFonts w:ascii="Gothic720 BT" w:hAnsi="Gothic720 BT"/>
        </w:rPr>
        <w:t>en la Oficialía de Partes</w:t>
      </w:r>
      <w:r w:rsidRPr="00627784">
        <w:rPr>
          <w:rStyle w:val="Refdenotaalpie"/>
          <w:rFonts w:ascii="Gothic720 BT" w:hAnsi="Gothic720 BT"/>
        </w:rPr>
        <w:footnoteReference w:id="2"/>
      </w:r>
      <w:r w:rsidRPr="00627784">
        <w:rPr>
          <w:rFonts w:ascii="Gothic720 BT" w:hAnsi="Gothic720 BT"/>
        </w:rPr>
        <w:t xml:space="preserve"> </w:t>
      </w:r>
      <w:r>
        <w:rPr>
          <w:rFonts w:ascii="Gothic720 BT" w:hAnsi="Gothic720 BT"/>
        </w:rPr>
        <w:t>del Instituto Electoral del Estado de Querétaro</w:t>
      </w:r>
      <w:r>
        <w:rPr>
          <w:rStyle w:val="Refdenotaalpie"/>
          <w:rFonts w:ascii="Gothic720 BT" w:hAnsi="Gothic720 BT"/>
        </w:rPr>
        <w:footnoteReference w:id="3"/>
      </w:r>
      <w:r>
        <w:rPr>
          <w:rFonts w:ascii="Gothic720 BT" w:hAnsi="Gothic720 BT"/>
        </w:rPr>
        <w:t xml:space="preserve"> </w:t>
      </w:r>
      <w:r w:rsidRPr="00627784">
        <w:rPr>
          <w:rFonts w:ascii="Gothic720 BT" w:hAnsi="Gothic720 BT"/>
        </w:rPr>
        <w:t>el</w:t>
      </w:r>
      <w:r>
        <w:rPr>
          <w:rFonts w:ascii="Gothic720 BT" w:hAnsi="Gothic720 BT"/>
        </w:rPr>
        <w:t xml:space="preserve"> diez y once de noviembre del año en curso,</w:t>
      </w:r>
      <w:r w:rsidRPr="00627784">
        <w:rPr>
          <w:rStyle w:val="Refdenotaalpie"/>
          <w:rFonts w:ascii="Gothic720 BT" w:hAnsi="Gothic720 BT"/>
        </w:rPr>
        <w:footnoteReference w:id="4"/>
      </w:r>
      <w:r>
        <w:rPr>
          <w:rFonts w:ascii="Gothic720 BT" w:hAnsi="Gothic720 BT"/>
        </w:rPr>
        <w:t xml:space="preserve"> registrados con los folios 1230, 1231, 1232,1261, 1262, 1263, 1264 y 1265 signados por Mauricio Raúl Zúñiga Chávez, Luis Leonard de la Cruz Sánchez Durán, María del Mar Avilés Medina, Enrique Guardado Bautista, Juan José Juventino Barrios Pérez, </w:t>
      </w:r>
      <w:proofErr w:type="spellStart"/>
      <w:r>
        <w:rPr>
          <w:rFonts w:ascii="Gothic720 BT" w:hAnsi="Gothic720 BT"/>
        </w:rPr>
        <w:t>Ebodio</w:t>
      </w:r>
      <w:proofErr w:type="spellEnd"/>
      <w:r>
        <w:rPr>
          <w:rFonts w:ascii="Gothic720 BT" w:hAnsi="Gothic720 BT"/>
        </w:rPr>
        <w:t xml:space="preserve"> Barrios Pérez, Esther García Zúñiga y Omar Álvarez Reséndiz, respectivamente, quienes actúan por propio derecho, e informaron su renuncia, con carácter irrevocable, como militantes al Partido Político Nacional Encuentro Solidario</w:t>
      </w:r>
      <w:r>
        <w:rPr>
          <w:rFonts w:ascii="Gothic720 BT" w:hAnsi="Gothic720 BT"/>
          <w:lang w:eastAsia="es-MX"/>
        </w:rPr>
        <w:t>.</w:t>
      </w:r>
    </w:p>
    <w:p w:rsidR="00CD1945" w:rsidRDefault="00CD1945" w:rsidP="00CD1945">
      <w:pPr>
        <w:spacing w:after="0"/>
        <w:jc w:val="both"/>
        <w:rPr>
          <w:rFonts w:ascii="Gothic720 BT" w:hAnsi="Gothic720 BT"/>
          <w:lang w:eastAsia="es-MX"/>
        </w:rPr>
      </w:pPr>
    </w:p>
    <w:p w:rsidR="00CD1945" w:rsidRDefault="00CD1945" w:rsidP="00CD1945">
      <w:pPr>
        <w:spacing w:after="0"/>
        <w:jc w:val="both"/>
        <w:rPr>
          <w:rFonts w:ascii="Gothic720 BT" w:hAnsi="Gothic720 BT"/>
          <w:lang w:eastAsia="es-MX"/>
        </w:rPr>
      </w:pPr>
      <w:r>
        <w:rPr>
          <w:rFonts w:ascii="Gothic720 BT" w:hAnsi="Gothic720 BT"/>
          <w:lang w:eastAsia="es-MX"/>
        </w:rPr>
        <w:t>C</w:t>
      </w:r>
      <w:r w:rsidRPr="008751CE">
        <w:rPr>
          <w:rFonts w:ascii="Gothic720 BT" w:hAnsi="Gothic720 BT"/>
          <w:lang w:eastAsia="es-MX"/>
        </w:rPr>
        <w:t>on fundamento en lo dispue</w:t>
      </w:r>
      <w:r>
        <w:rPr>
          <w:rFonts w:ascii="Gothic720 BT" w:hAnsi="Gothic720 BT"/>
          <w:lang w:eastAsia="es-MX"/>
        </w:rPr>
        <w:t>sto por el artículo 63, fracciones I y</w:t>
      </w:r>
      <w:r w:rsidRPr="008751CE">
        <w:rPr>
          <w:rFonts w:ascii="Gothic720 BT" w:hAnsi="Gothic720 BT"/>
          <w:lang w:eastAsia="es-MX"/>
        </w:rPr>
        <w:t xml:space="preserve"> XXXI de la Ley Electoral del Estado de Querétaro, el Encargado de Despacho de la Secretaría Ejecutiva del Instituto </w:t>
      </w:r>
      <w:r w:rsidRPr="008751CE">
        <w:rPr>
          <w:rFonts w:ascii="Gothic720 BT" w:hAnsi="Gothic720 BT"/>
          <w:b/>
          <w:lang w:eastAsia="es-MX"/>
        </w:rPr>
        <w:t>ACUERDA:</w:t>
      </w:r>
    </w:p>
    <w:p w:rsidR="00CD1945" w:rsidRPr="00687C99" w:rsidRDefault="00CD1945" w:rsidP="00CD1945">
      <w:pPr>
        <w:spacing w:after="0"/>
        <w:jc w:val="both"/>
        <w:rPr>
          <w:rFonts w:ascii="Gothic720 BT" w:hAnsi="Gothic720 BT"/>
          <w:b/>
          <w:color w:val="000000"/>
          <w:sz w:val="16"/>
          <w:lang w:eastAsia="es-MX"/>
        </w:rPr>
      </w:pPr>
    </w:p>
    <w:p w:rsidR="00CD1945" w:rsidRPr="00056B2B" w:rsidRDefault="00CD1945" w:rsidP="00CD1945">
      <w:pPr>
        <w:spacing w:after="0"/>
        <w:jc w:val="both"/>
        <w:rPr>
          <w:rFonts w:ascii="Gothic720 BT" w:hAnsi="Gothic720 BT"/>
          <w:b/>
          <w:color w:val="000000"/>
          <w:lang w:eastAsia="es-MX"/>
        </w:rPr>
      </w:pPr>
      <w:r w:rsidRPr="00D92C46">
        <w:rPr>
          <w:rFonts w:ascii="Gothic720 BT" w:hAnsi="Gothic720 BT"/>
          <w:b/>
          <w:lang w:eastAsia="es-MX"/>
        </w:rPr>
        <w:t>PRIMERO.</w:t>
      </w:r>
      <w:r w:rsidRPr="00D92C46">
        <w:rPr>
          <w:rFonts w:ascii="Gothic720 BT" w:hAnsi="Gothic720 BT" w:cs="Arial"/>
          <w:b/>
          <w:lang w:eastAsia="es-MX"/>
        </w:rPr>
        <w:t xml:space="preserve"> Recepción.</w:t>
      </w:r>
      <w:r w:rsidRPr="00D92C46">
        <w:rPr>
          <w:rFonts w:ascii="Gothic720 BT" w:hAnsi="Gothic720 BT" w:cs="Arial"/>
          <w:bCs/>
        </w:rPr>
        <w:t xml:space="preserve"> Se tienen por recibido</w:t>
      </w:r>
      <w:r>
        <w:rPr>
          <w:rFonts w:ascii="Gothic720 BT" w:hAnsi="Gothic720 BT" w:cs="Arial"/>
          <w:bCs/>
        </w:rPr>
        <w:t>s los</w:t>
      </w:r>
      <w:r w:rsidRPr="00D92C46">
        <w:rPr>
          <w:rFonts w:ascii="Gothic720 BT" w:hAnsi="Gothic720 BT" w:cs="Arial"/>
          <w:bCs/>
        </w:rPr>
        <w:t xml:space="preserve"> documento</w:t>
      </w:r>
      <w:r>
        <w:rPr>
          <w:rFonts w:ascii="Gothic720 BT" w:hAnsi="Gothic720 BT" w:cs="Arial"/>
          <w:bCs/>
        </w:rPr>
        <w:t>s</w:t>
      </w:r>
      <w:r w:rsidRPr="00D92C46">
        <w:rPr>
          <w:rFonts w:ascii="Gothic720 BT" w:hAnsi="Gothic720 BT" w:cs="Arial"/>
          <w:bCs/>
        </w:rPr>
        <w:t xml:space="preserve"> de cuenta, mismo</w:t>
      </w:r>
      <w:r>
        <w:rPr>
          <w:rFonts w:ascii="Gothic720 BT" w:hAnsi="Gothic720 BT" w:cs="Arial"/>
          <w:bCs/>
        </w:rPr>
        <w:t>s</w:t>
      </w:r>
      <w:r w:rsidRPr="00D92C46">
        <w:rPr>
          <w:rFonts w:ascii="Gothic720 BT" w:hAnsi="Gothic720 BT" w:cs="Arial"/>
          <w:bCs/>
        </w:rPr>
        <w:t xml:space="preserve"> que consta</w:t>
      </w:r>
      <w:r>
        <w:rPr>
          <w:rFonts w:ascii="Gothic720 BT" w:hAnsi="Gothic720 BT" w:cs="Arial"/>
          <w:bCs/>
        </w:rPr>
        <w:t>n</w:t>
      </w:r>
      <w:r w:rsidRPr="00D92C46">
        <w:rPr>
          <w:rFonts w:ascii="Gothic720 BT" w:hAnsi="Gothic720 BT" w:cs="Arial"/>
          <w:bCs/>
        </w:rPr>
        <w:t xml:space="preserve"> </w:t>
      </w:r>
      <w:r>
        <w:rPr>
          <w:rFonts w:ascii="Gothic720 BT" w:hAnsi="Gothic720 BT" w:cs="Arial"/>
          <w:bCs/>
        </w:rPr>
        <w:t xml:space="preserve">en un total de treinta y una </w:t>
      </w:r>
      <w:r w:rsidRPr="00D92C46">
        <w:rPr>
          <w:rFonts w:ascii="Gothic720 BT" w:hAnsi="Gothic720 BT" w:cs="Arial"/>
          <w:bCs/>
        </w:rPr>
        <w:t>foja</w:t>
      </w:r>
      <w:r>
        <w:rPr>
          <w:rFonts w:ascii="Gothic720 BT" w:hAnsi="Gothic720 BT" w:cs="Arial"/>
          <w:bCs/>
        </w:rPr>
        <w:t>s</w:t>
      </w:r>
      <w:r w:rsidRPr="00D92C46">
        <w:rPr>
          <w:rFonts w:ascii="Gothic720 BT" w:hAnsi="Gothic720 BT" w:cs="Arial"/>
          <w:bCs/>
        </w:rPr>
        <w:t xml:space="preserve"> útil</w:t>
      </w:r>
      <w:r>
        <w:rPr>
          <w:rFonts w:ascii="Gothic720 BT" w:hAnsi="Gothic720 BT" w:cs="Arial"/>
          <w:bCs/>
        </w:rPr>
        <w:t>es</w:t>
      </w:r>
      <w:r w:rsidRPr="00D92C46">
        <w:rPr>
          <w:rFonts w:ascii="Gothic720 BT" w:hAnsi="Gothic720 BT" w:cs="Arial"/>
          <w:bCs/>
        </w:rPr>
        <w:t xml:space="preserve"> con texto por un solo lado</w:t>
      </w:r>
      <w:r>
        <w:rPr>
          <w:rFonts w:ascii="Gothic720 BT" w:hAnsi="Gothic720 BT" w:cs="Arial"/>
          <w:bCs/>
        </w:rPr>
        <w:t xml:space="preserve"> y una con texto por ambos lados</w:t>
      </w:r>
      <w:r w:rsidRPr="00D92C46">
        <w:rPr>
          <w:rFonts w:ascii="Gothic720 BT" w:hAnsi="Gothic720 BT" w:cs="Arial"/>
          <w:bCs/>
        </w:rPr>
        <w:t>,</w:t>
      </w:r>
      <w:r>
        <w:rPr>
          <w:rStyle w:val="Refdenotaalpie"/>
          <w:rFonts w:ascii="Gothic720 BT" w:hAnsi="Gothic720 BT" w:cs="Arial"/>
          <w:bCs/>
        </w:rPr>
        <w:footnoteReference w:id="5"/>
      </w:r>
      <w:r w:rsidRPr="00D92C46">
        <w:rPr>
          <w:rFonts w:ascii="Gothic720 BT" w:hAnsi="Gothic720 BT" w:cs="Arial"/>
          <w:bCs/>
        </w:rPr>
        <w:t xml:space="preserve"> la</w:t>
      </w:r>
      <w:r>
        <w:rPr>
          <w:rFonts w:ascii="Gothic720 BT" w:hAnsi="Gothic720 BT" w:cs="Arial"/>
          <w:bCs/>
        </w:rPr>
        <w:t>s</w:t>
      </w:r>
      <w:r w:rsidRPr="00D92C46">
        <w:rPr>
          <w:rFonts w:ascii="Gothic720 BT" w:hAnsi="Gothic720 BT" w:cs="Arial"/>
          <w:bCs/>
        </w:rPr>
        <w:t xml:space="preserve"> cual</w:t>
      </w:r>
      <w:r>
        <w:rPr>
          <w:rFonts w:ascii="Gothic720 BT" w:hAnsi="Gothic720 BT" w:cs="Arial"/>
          <w:bCs/>
        </w:rPr>
        <w:t>es</w:t>
      </w:r>
      <w:r w:rsidRPr="00D92C46">
        <w:rPr>
          <w:rFonts w:ascii="Gothic720 BT" w:hAnsi="Gothic720 BT" w:cs="Arial"/>
          <w:bCs/>
        </w:rPr>
        <w:t xml:space="preserve"> se ordena agregar en autos</w:t>
      </w:r>
      <w:r>
        <w:rPr>
          <w:rFonts w:ascii="Gothic720 BT" w:hAnsi="Gothic720 BT" w:cs="Arial"/>
          <w:bCs/>
        </w:rPr>
        <w:t>,</w:t>
      </w:r>
      <w:r w:rsidRPr="00D92C46">
        <w:rPr>
          <w:rFonts w:ascii="Gothic720 BT" w:hAnsi="Gothic720 BT" w:cs="Arial"/>
          <w:bCs/>
        </w:rPr>
        <w:t xml:space="preserve"> para los efectos conducentes.</w:t>
      </w:r>
      <w:r w:rsidRPr="00D75BF5">
        <w:rPr>
          <w:rFonts w:ascii="Gothic720 BT" w:hAnsi="Gothic720 BT" w:cs="Arial"/>
          <w:bCs/>
        </w:rPr>
        <w:t xml:space="preserve"> </w:t>
      </w:r>
    </w:p>
    <w:p w:rsidR="00CD1945" w:rsidRDefault="00CD1945" w:rsidP="00CD1945">
      <w:pPr>
        <w:tabs>
          <w:tab w:val="left" w:pos="567"/>
        </w:tabs>
        <w:spacing w:after="0"/>
        <w:jc w:val="both"/>
        <w:rPr>
          <w:rFonts w:ascii="Gothic720 BT" w:hAnsi="Gothic720 BT"/>
          <w:b/>
        </w:rPr>
      </w:pPr>
    </w:p>
    <w:p w:rsidR="00CD1945" w:rsidRPr="003E755F" w:rsidRDefault="00CD1945" w:rsidP="00CD1945">
      <w:pPr>
        <w:tabs>
          <w:tab w:val="left" w:pos="567"/>
        </w:tabs>
        <w:spacing w:after="0"/>
        <w:jc w:val="both"/>
        <w:rPr>
          <w:rFonts w:ascii="Gothic720 BT" w:hAnsi="Gothic720 BT"/>
        </w:rPr>
      </w:pPr>
      <w:r w:rsidRPr="003E755F">
        <w:rPr>
          <w:rFonts w:ascii="Gothic720 BT" w:hAnsi="Gothic720 BT"/>
          <w:b/>
        </w:rPr>
        <w:t>SEGUNDO.</w:t>
      </w:r>
      <w:r w:rsidRPr="003E755F">
        <w:rPr>
          <w:rFonts w:ascii="Gothic720 BT" w:hAnsi="Gothic720 BT"/>
        </w:rPr>
        <w:t xml:space="preserve"> </w:t>
      </w:r>
      <w:r w:rsidRPr="003E755F">
        <w:rPr>
          <w:rFonts w:ascii="Gothic720 BT" w:hAnsi="Gothic720 BT"/>
          <w:b/>
        </w:rPr>
        <w:t xml:space="preserve">Se </w:t>
      </w:r>
      <w:r>
        <w:rPr>
          <w:rFonts w:ascii="Gothic720 BT" w:hAnsi="Gothic720 BT"/>
          <w:b/>
        </w:rPr>
        <w:t>informa incompetencia</w:t>
      </w:r>
      <w:r w:rsidRPr="003E755F">
        <w:rPr>
          <w:rFonts w:ascii="Gothic720 BT" w:hAnsi="Gothic720 BT"/>
        </w:rPr>
        <w:t xml:space="preserve">. </w:t>
      </w:r>
    </w:p>
    <w:p w:rsidR="00CD1945" w:rsidRPr="003E755F" w:rsidRDefault="00CD1945" w:rsidP="00CD1945">
      <w:pPr>
        <w:tabs>
          <w:tab w:val="left" w:pos="567"/>
        </w:tabs>
        <w:spacing w:after="0"/>
        <w:jc w:val="both"/>
        <w:rPr>
          <w:rFonts w:ascii="Gothic720 BT" w:hAnsi="Gothic720 BT"/>
          <w:sz w:val="16"/>
          <w:szCs w:val="16"/>
        </w:rPr>
      </w:pPr>
    </w:p>
    <w:p w:rsidR="00CD1945" w:rsidRDefault="00CD1945" w:rsidP="00CD1945">
      <w:pPr>
        <w:tabs>
          <w:tab w:val="left" w:pos="567"/>
        </w:tabs>
        <w:spacing w:after="0"/>
        <w:jc w:val="both"/>
        <w:rPr>
          <w:rFonts w:ascii="Gothic720 BT" w:hAnsi="Gothic720 BT"/>
        </w:rPr>
      </w:pPr>
      <w:r>
        <w:rPr>
          <w:rFonts w:ascii="Gothic720 BT" w:hAnsi="Gothic720 BT"/>
        </w:rPr>
        <w:t xml:space="preserve">1. De los escritos de cuenta se advierte que las personas </w:t>
      </w:r>
      <w:proofErr w:type="spellStart"/>
      <w:r>
        <w:rPr>
          <w:rFonts w:ascii="Gothic720 BT" w:hAnsi="Gothic720 BT"/>
        </w:rPr>
        <w:t>promoventes</w:t>
      </w:r>
      <w:proofErr w:type="spellEnd"/>
      <w:r>
        <w:rPr>
          <w:rFonts w:ascii="Gothic720 BT" w:hAnsi="Gothic720 BT"/>
        </w:rPr>
        <w:t xml:space="preserve"> remitieron a este Instituto, un escrito dirigido, entre otros, al partido Encuentro Solidario y a este Instituto, mediante los cuales comunicaron su renuncia, con carácter irrevocable, como militantes de dicho partido, por así convenir a sus intereses. Además, no pasa desapercibido por esta autoridad electoral que de los escritos </w:t>
      </w:r>
      <w:r>
        <w:rPr>
          <w:rFonts w:ascii="Gothic720 BT" w:hAnsi="Gothic720 BT"/>
        </w:rPr>
        <w:lastRenderedPageBreak/>
        <w:t>registrados con los folios 1261, 1263 y 1264, se advierte que los mismos ya fueron notificados a la representación del citado partido</w:t>
      </w:r>
      <w:r w:rsidRPr="002519C1">
        <w:rPr>
          <w:rFonts w:ascii="Gothic720 BT" w:hAnsi="Gothic720 BT"/>
        </w:rPr>
        <w:t xml:space="preserve"> </w:t>
      </w:r>
      <w:r>
        <w:rPr>
          <w:rFonts w:ascii="Gothic720 BT" w:hAnsi="Gothic720 BT"/>
        </w:rPr>
        <w:t>ante este Instituto, es decir, a Anahí Carolina Ramírez Ayala el once de noviembre.</w:t>
      </w:r>
    </w:p>
    <w:p w:rsidR="00CD1945" w:rsidRDefault="00CD1945" w:rsidP="00CD1945">
      <w:pPr>
        <w:tabs>
          <w:tab w:val="left" w:pos="567"/>
        </w:tabs>
        <w:spacing w:after="0"/>
        <w:jc w:val="both"/>
        <w:rPr>
          <w:rFonts w:ascii="Gothic720 BT" w:hAnsi="Gothic720 BT"/>
        </w:rPr>
      </w:pPr>
    </w:p>
    <w:p w:rsidR="00CD1945" w:rsidRDefault="00CD1945" w:rsidP="00CD1945">
      <w:pPr>
        <w:tabs>
          <w:tab w:val="left" w:pos="567"/>
        </w:tabs>
        <w:spacing w:after="0"/>
        <w:jc w:val="both"/>
        <w:rPr>
          <w:rFonts w:ascii="Gothic720 BT" w:hAnsi="Gothic720 BT"/>
        </w:rPr>
      </w:pPr>
      <w:r>
        <w:rPr>
          <w:rFonts w:ascii="Gothic720 BT" w:hAnsi="Gothic720 BT"/>
        </w:rPr>
        <w:t xml:space="preserve">2. Al respecto, se informa que de conformidad con el artículo 41, base I, párrafo tercero de la </w:t>
      </w:r>
      <w:r w:rsidRPr="003640A6">
        <w:rPr>
          <w:rFonts w:ascii="Gothic720 BT" w:hAnsi="Gothic720 BT"/>
        </w:rPr>
        <w:t>Constitución Política de los Estados Unidos Mexicanos,</w:t>
      </w:r>
      <w:r>
        <w:rPr>
          <w:rStyle w:val="Refdenotaalpie"/>
          <w:rFonts w:ascii="Gothic720 BT" w:hAnsi="Gothic720 BT"/>
        </w:rPr>
        <w:footnoteReference w:id="6"/>
      </w:r>
      <w:r>
        <w:rPr>
          <w:rFonts w:ascii="Gothic720 BT" w:hAnsi="Gothic720 BT"/>
        </w:rPr>
        <w:t xml:space="preserve"> con relación al 34, párrafo 1 de la </w:t>
      </w:r>
      <w:r w:rsidRPr="003640A6">
        <w:rPr>
          <w:rFonts w:ascii="Gothic720 BT" w:hAnsi="Gothic720 BT"/>
        </w:rPr>
        <w:t>Ley G</w:t>
      </w:r>
      <w:r>
        <w:rPr>
          <w:rFonts w:ascii="Gothic720 BT" w:hAnsi="Gothic720 BT"/>
        </w:rPr>
        <w:t>eneral de Partidos Políticos,</w:t>
      </w:r>
      <w:r>
        <w:rPr>
          <w:rStyle w:val="Refdenotaalpie"/>
          <w:rFonts w:ascii="Gothic720 BT" w:hAnsi="Gothic720 BT"/>
        </w:rPr>
        <w:footnoteReference w:id="7"/>
      </w:r>
      <w:r>
        <w:rPr>
          <w:rFonts w:ascii="Gothic720 BT" w:hAnsi="Gothic720 BT"/>
        </w:rPr>
        <w:t xml:space="preserve"> las autoridades electorales solamente pueden intervenir en los asuntos internos de los partidos políticos en los términos que señale dicho ordenamiento y la ley, entendiéndose como tal, el conjunto de actos y procedimientos relativos a su organización y funcionamiento, con base en las disposiciones previstas en la Constitución Federal, dicha ley y su respectivo Estatuto, así como los reglamentos que aprueben sus órganos de dirección.</w:t>
      </w:r>
    </w:p>
    <w:p w:rsidR="00CD1945" w:rsidRDefault="00CD1945" w:rsidP="00CD1945">
      <w:pPr>
        <w:tabs>
          <w:tab w:val="left" w:pos="567"/>
        </w:tabs>
        <w:spacing w:after="0"/>
        <w:jc w:val="both"/>
        <w:rPr>
          <w:rFonts w:ascii="Gothic720 BT" w:hAnsi="Gothic720 BT"/>
        </w:rPr>
      </w:pPr>
    </w:p>
    <w:p w:rsidR="00CD1945" w:rsidRPr="00BD7BB9" w:rsidRDefault="00CD1945" w:rsidP="00CD1945">
      <w:pPr>
        <w:tabs>
          <w:tab w:val="left" w:pos="567"/>
        </w:tabs>
        <w:spacing w:after="0"/>
        <w:jc w:val="both"/>
        <w:rPr>
          <w:rFonts w:ascii="Gothic720 BT" w:hAnsi="Gothic720 BT"/>
        </w:rPr>
      </w:pPr>
      <w:r>
        <w:rPr>
          <w:rFonts w:ascii="Gothic720 BT" w:hAnsi="Gothic720 BT"/>
        </w:rPr>
        <w:t>3. En términos del artículo 2, inciso b) de la Ley de Partidos, la determinación de los requisitos y mecanismos para la libre y voluntaria afiliación de la ciudadanía constituye un asunto interno de los partidos políticos.</w:t>
      </w:r>
    </w:p>
    <w:p w:rsidR="00CD1945" w:rsidRDefault="00CD1945" w:rsidP="00CD1945">
      <w:pPr>
        <w:tabs>
          <w:tab w:val="left" w:pos="567"/>
        </w:tabs>
        <w:spacing w:after="0"/>
        <w:jc w:val="both"/>
        <w:rPr>
          <w:rFonts w:ascii="Gothic720 BT" w:hAnsi="Gothic720 BT"/>
        </w:rPr>
      </w:pPr>
    </w:p>
    <w:p w:rsidR="00CD1945" w:rsidRPr="00560C60" w:rsidRDefault="00CD1945" w:rsidP="00CD1945">
      <w:pPr>
        <w:tabs>
          <w:tab w:val="left" w:pos="567"/>
        </w:tabs>
        <w:spacing w:after="0"/>
        <w:jc w:val="both"/>
        <w:rPr>
          <w:rFonts w:ascii="Gothic720 BT" w:hAnsi="Gothic720 BT"/>
          <w:sz w:val="16"/>
        </w:rPr>
      </w:pPr>
      <w:r>
        <w:rPr>
          <w:rFonts w:ascii="Gothic720 BT" w:hAnsi="Gothic720 BT"/>
        </w:rPr>
        <w:t>4</w:t>
      </w:r>
      <w:r w:rsidRPr="00BD7BB9">
        <w:rPr>
          <w:rFonts w:ascii="Gothic720 BT" w:hAnsi="Gothic720 BT"/>
        </w:rPr>
        <w:t xml:space="preserve">. </w:t>
      </w:r>
      <w:r>
        <w:rPr>
          <w:rFonts w:ascii="Gothic720 BT" w:hAnsi="Gothic720 BT"/>
        </w:rPr>
        <w:t>Además, los artículos 39, párrafo 1, incisos b), c), d), e) así como 40, párrafo 1, inciso h), i) y j) del citado ordenamiento prevén que los estatutos de los partidos políticos deben establecer, entre otros rubros, los procedimientos para la afiliación individual, personal, libre y pacífica de sus miembros, así como los derechos y obligaciones de éstos y de los militantes, además, la</w:t>
      </w:r>
      <w:r w:rsidRPr="00D74FAF">
        <w:rPr>
          <w:rFonts w:ascii="Gothic720 BT" w:hAnsi="Gothic720 BT"/>
        </w:rPr>
        <w:t xml:space="preserve"> estructura org</w:t>
      </w:r>
      <w:r>
        <w:rPr>
          <w:rFonts w:ascii="Gothic720 BT" w:hAnsi="Gothic720 BT"/>
        </w:rPr>
        <w:t>ánica bajo la cual se organiza</w:t>
      </w:r>
      <w:r w:rsidRPr="00D74FAF">
        <w:rPr>
          <w:rFonts w:ascii="Gothic720 BT" w:hAnsi="Gothic720 BT"/>
        </w:rPr>
        <w:t xml:space="preserve"> el partido político</w:t>
      </w:r>
      <w:r>
        <w:rPr>
          <w:rFonts w:ascii="Gothic720 BT" w:hAnsi="Gothic720 BT"/>
        </w:rPr>
        <w:t xml:space="preserve"> y l</w:t>
      </w:r>
      <w:r w:rsidRPr="00D74FAF">
        <w:rPr>
          <w:rFonts w:ascii="Gothic720 BT" w:hAnsi="Gothic720 BT"/>
        </w:rPr>
        <w:t>as normas y procedimientos democráticos para la integración y renovación de los órganos</w:t>
      </w:r>
      <w:r>
        <w:rPr>
          <w:rFonts w:ascii="Gothic720 BT" w:hAnsi="Gothic720 BT"/>
        </w:rPr>
        <w:t xml:space="preserve"> </w:t>
      </w:r>
      <w:r w:rsidRPr="00D74FAF">
        <w:rPr>
          <w:rFonts w:ascii="Gothic720 BT" w:hAnsi="Gothic720 BT"/>
        </w:rPr>
        <w:t>internos, así como las funciones, facultades y obligaciones de los mismos</w:t>
      </w:r>
      <w:r>
        <w:rPr>
          <w:rFonts w:ascii="Gothic720 BT" w:hAnsi="Gothic720 BT"/>
        </w:rPr>
        <w:t>; aunado a que los estatutos deben establecer las categorías de sus militantes conforme a su nivel de participación y responsabilidades, asimismo, deben establecer sus derechos entre los que se incluyen, al menos, entre otros, r</w:t>
      </w:r>
      <w:r w:rsidRPr="002F41C2">
        <w:rPr>
          <w:rFonts w:ascii="Gothic720 BT" w:hAnsi="Gothic720 BT"/>
        </w:rPr>
        <w:t>efrendar, en su caso, o renunciar a su condición de militante</w:t>
      </w:r>
      <w:r>
        <w:rPr>
          <w:rFonts w:ascii="Gothic720 BT" w:hAnsi="Gothic720 BT"/>
        </w:rPr>
        <w:t>.</w:t>
      </w:r>
    </w:p>
    <w:p w:rsidR="00CD1945" w:rsidRPr="00435BAE" w:rsidRDefault="00CD1945" w:rsidP="00CD1945">
      <w:pPr>
        <w:tabs>
          <w:tab w:val="left" w:pos="567"/>
        </w:tabs>
        <w:spacing w:after="0"/>
        <w:ind w:left="567" w:right="708"/>
        <w:jc w:val="both"/>
        <w:rPr>
          <w:rFonts w:ascii="Gothic720 BT" w:hAnsi="Gothic720 BT"/>
          <w:sz w:val="16"/>
        </w:rPr>
      </w:pPr>
    </w:p>
    <w:p w:rsidR="00CD1945" w:rsidRPr="00BD7BB9" w:rsidRDefault="00CD1945" w:rsidP="00CD1945">
      <w:pPr>
        <w:tabs>
          <w:tab w:val="left" w:pos="567"/>
        </w:tabs>
        <w:spacing w:after="0"/>
        <w:ind w:right="-1"/>
        <w:jc w:val="both"/>
        <w:rPr>
          <w:rFonts w:ascii="Gothic720 BT" w:hAnsi="Gothic720 BT"/>
        </w:rPr>
      </w:pPr>
      <w:r>
        <w:rPr>
          <w:rFonts w:ascii="Gothic720 BT" w:hAnsi="Gothic720 BT"/>
        </w:rPr>
        <w:t>5</w:t>
      </w:r>
      <w:r w:rsidRPr="00BD7BB9">
        <w:rPr>
          <w:rFonts w:ascii="Gothic720 BT" w:hAnsi="Gothic720 BT"/>
        </w:rPr>
        <w:t xml:space="preserve">. </w:t>
      </w:r>
      <w:r>
        <w:rPr>
          <w:rFonts w:ascii="Gothic720 BT" w:hAnsi="Gothic720 BT"/>
        </w:rPr>
        <w:t>De lo anterior, se advierte que la facultad de registrar a las personas afiliadas, o en el caso particular, conocer respecto a las renuncias de sus militantes, miembros y/o dirigentes, así como a l</w:t>
      </w:r>
      <w:r w:rsidRPr="00D74FAF">
        <w:rPr>
          <w:rFonts w:ascii="Gothic720 BT" w:hAnsi="Gothic720 BT"/>
        </w:rPr>
        <w:t>a elección de l</w:t>
      </w:r>
      <w:r>
        <w:rPr>
          <w:rFonts w:ascii="Gothic720 BT" w:hAnsi="Gothic720 BT"/>
        </w:rPr>
        <w:t>as personas</w:t>
      </w:r>
      <w:r w:rsidRPr="00D74FAF">
        <w:rPr>
          <w:rFonts w:ascii="Gothic720 BT" w:hAnsi="Gothic720 BT"/>
        </w:rPr>
        <w:t xml:space="preserve"> integrantes de sus órganos internos</w:t>
      </w:r>
      <w:r>
        <w:rPr>
          <w:rFonts w:ascii="Gothic720 BT" w:hAnsi="Gothic720 BT"/>
        </w:rPr>
        <w:t>, a su vez, lo</w:t>
      </w:r>
      <w:r w:rsidRPr="00D74FAF">
        <w:rPr>
          <w:rFonts w:ascii="Gothic720 BT" w:hAnsi="Gothic720 BT"/>
        </w:rPr>
        <w:t>s procesos deliberativos para la definición de sus estrategias políticas y electorales y, en</w:t>
      </w:r>
      <w:r>
        <w:rPr>
          <w:rFonts w:ascii="Gothic720 BT" w:hAnsi="Gothic720 BT"/>
        </w:rPr>
        <w:t xml:space="preserve"> </w:t>
      </w:r>
      <w:r w:rsidRPr="00D74FAF">
        <w:rPr>
          <w:rFonts w:ascii="Gothic720 BT" w:hAnsi="Gothic720 BT"/>
        </w:rPr>
        <w:t>general, para la toma de decisiones por sus órganos internos y de los organismos que agrupen a</w:t>
      </w:r>
      <w:r>
        <w:rPr>
          <w:rFonts w:ascii="Gothic720 BT" w:hAnsi="Gothic720 BT"/>
        </w:rPr>
        <w:t xml:space="preserve"> sus militantes, es </w:t>
      </w:r>
      <w:r>
        <w:rPr>
          <w:rFonts w:ascii="Gothic720 BT" w:hAnsi="Gothic720 BT"/>
        </w:rPr>
        <w:lastRenderedPageBreak/>
        <w:t>propia de los partidos políticos que corresponda, al tratarse de asuntos internos en términos del artículo 34, párrafo 2, incisos b), c) y e) de la Ley de Partidos.</w:t>
      </w:r>
    </w:p>
    <w:p w:rsidR="00CD1945" w:rsidRPr="00435BAE" w:rsidRDefault="00CD1945" w:rsidP="00CD1945">
      <w:pPr>
        <w:tabs>
          <w:tab w:val="left" w:pos="567"/>
        </w:tabs>
        <w:spacing w:after="0"/>
        <w:ind w:right="-1"/>
        <w:jc w:val="both"/>
        <w:rPr>
          <w:rFonts w:ascii="Gothic720 BT" w:hAnsi="Gothic720 BT"/>
          <w:sz w:val="16"/>
        </w:rPr>
      </w:pPr>
    </w:p>
    <w:p w:rsidR="00CD1945" w:rsidRDefault="00CD1945" w:rsidP="00CD1945">
      <w:pPr>
        <w:tabs>
          <w:tab w:val="left" w:pos="567"/>
        </w:tabs>
        <w:spacing w:after="0"/>
        <w:ind w:right="-1"/>
        <w:jc w:val="both"/>
        <w:rPr>
          <w:rFonts w:ascii="Gothic720 BT" w:hAnsi="Gothic720 BT"/>
        </w:rPr>
      </w:pPr>
      <w:r>
        <w:rPr>
          <w:rFonts w:ascii="Gothic720 BT" w:hAnsi="Gothic720 BT"/>
        </w:rPr>
        <w:t>6</w:t>
      </w:r>
      <w:r w:rsidRPr="00BD7BB9">
        <w:rPr>
          <w:rFonts w:ascii="Gothic720 BT" w:hAnsi="Gothic720 BT"/>
        </w:rPr>
        <w:t xml:space="preserve">. </w:t>
      </w:r>
      <w:r>
        <w:rPr>
          <w:rFonts w:ascii="Gothic720 BT" w:hAnsi="Gothic720 BT"/>
        </w:rPr>
        <w:t xml:space="preserve">En conclusión, este Instituto carece de facultades para pronunciarse respecto a la renuncia de la ciudadanía a algún partido político, como lo es, en el caso particular el Partido Político Nacional Encuentro Solidario, y en su caso, es facultad del citado partido, señalar lo conducente con relación a la calidad y renuncia de Mauricio Raúl Zúñiga Chávez, Luis Leonard de la Cruz Sánchez Durán, María del Mar Avilés Medina, Enrique Guardado Bautista, Juan José Juventino Barrios Pérez, </w:t>
      </w:r>
      <w:proofErr w:type="spellStart"/>
      <w:r>
        <w:rPr>
          <w:rFonts w:ascii="Gothic720 BT" w:hAnsi="Gothic720 BT"/>
        </w:rPr>
        <w:t>Ebodio</w:t>
      </w:r>
      <w:proofErr w:type="spellEnd"/>
      <w:r>
        <w:rPr>
          <w:rFonts w:ascii="Gothic720 BT" w:hAnsi="Gothic720 BT"/>
        </w:rPr>
        <w:t xml:space="preserve"> Barrios Pérez, Esther García Zúñiga y Omar Álvarez Reséndiz,  como personas militantes del mismo, por tratarse de un asunto interno.</w:t>
      </w:r>
    </w:p>
    <w:p w:rsidR="00CD1945" w:rsidRDefault="00CD1945" w:rsidP="00CD1945">
      <w:pPr>
        <w:tabs>
          <w:tab w:val="left" w:pos="567"/>
        </w:tabs>
        <w:spacing w:after="0"/>
        <w:ind w:right="-1"/>
        <w:jc w:val="both"/>
        <w:rPr>
          <w:rFonts w:ascii="Gothic720 BT" w:hAnsi="Gothic720 BT"/>
        </w:rPr>
      </w:pPr>
    </w:p>
    <w:p w:rsidR="00CD1945" w:rsidRDefault="00CD1945" w:rsidP="00CD1945">
      <w:pPr>
        <w:tabs>
          <w:tab w:val="left" w:pos="567"/>
        </w:tabs>
        <w:spacing w:after="0"/>
        <w:ind w:right="-1"/>
        <w:jc w:val="both"/>
        <w:rPr>
          <w:rFonts w:ascii="Gothic720 BT" w:hAnsi="Gothic720 BT"/>
        </w:rPr>
      </w:pPr>
      <w:r>
        <w:rPr>
          <w:rFonts w:ascii="Gothic720 BT" w:hAnsi="Gothic720 BT"/>
        </w:rPr>
        <w:t>7. Cabe señalar que el treinta de marzo y catorce de diciembre, ambos de dos mil dieciséis, el Consejo General del Instituto Nacional Electoral</w:t>
      </w:r>
      <w:r>
        <w:rPr>
          <w:rStyle w:val="Refdenotaalpie"/>
          <w:rFonts w:ascii="Gothic720 BT" w:hAnsi="Gothic720 BT"/>
        </w:rPr>
        <w:footnoteReference w:id="8"/>
      </w:r>
      <w:r>
        <w:rPr>
          <w:rFonts w:ascii="Gothic720 BT" w:hAnsi="Gothic720 BT"/>
        </w:rPr>
        <w:t xml:space="preserve"> aprobó los acuerdos INE/CG172/2016 e INE/CG851/2016 relativos a los Lineamientos para la verificación de los padrones de personas afiliadas a los partidos políticos nacionales y locales, respectivamente.</w:t>
      </w:r>
      <w:r>
        <w:rPr>
          <w:rStyle w:val="Refdenotaalpie"/>
          <w:rFonts w:ascii="Gothic720 BT" w:hAnsi="Gothic720 BT"/>
        </w:rPr>
        <w:footnoteReference w:id="9"/>
      </w:r>
      <w:r>
        <w:rPr>
          <w:rFonts w:ascii="Gothic720 BT" w:hAnsi="Gothic720 BT"/>
        </w:rPr>
        <w:t xml:space="preserve"> </w:t>
      </w:r>
    </w:p>
    <w:p w:rsidR="00CD1945" w:rsidRDefault="00CD1945" w:rsidP="00CD1945">
      <w:pPr>
        <w:tabs>
          <w:tab w:val="left" w:pos="567"/>
        </w:tabs>
        <w:spacing w:after="0"/>
        <w:ind w:right="-1"/>
        <w:jc w:val="both"/>
        <w:rPr>
          <w:rFonts w:ascii="Gothic720 BT" w:hAnsi="Gothic720 BT"/>
        </w:rPr>
      </w:pPr>
    </w:p>
    <w:p w:rsidR="00CD1945" w:rsidRDefault="00CD1945" w:rsidP="00CD1945">
      <w:pPr>
        <w:tabs>
          <w:tab w:val="left" w:pos="567"/>
        </w:tabs>
        <w:spacing w:after="0"/>
        <w:ind w:right="-1"/>
        <w:jc w:val="both"/>
        <w:rPr>
          <w:rFonts w:ascii="Gothic720 BT" w:hAnsi="Gothic720 BT"/>
        </w:rPr>
      </w:pPr>
      <w:r>
        <w:rPr>
          <w:rFonts w:ascii="Gothic720 BT" w:hAnsi="Gothic720 BT"/>
        </w:rPr>
        <w:t>8. En ese sentido, los Partidos Políticos Nacionales tienen la obligación, entre otras, de actualizar su padrón de personas afiliadas en su página de internet, así como informar a la Dirección Ejecutiva de Prerrogativas y Partidos Políticos del Instituto Nacional respecto a las bajas que conforme a sus normas estatutarias resultaron procedentes, en el padrón de las personas afiliadas verificado por la autoridad electoral, lo anterior, de conformidad con la disposición quinta, numeral 2, incisos d) y e) de los Lineamientos para la verificación de los padrones afiliados de los Partidos Políticos Nacionales para la conservación de su registro y su publicidad, así como para el ejercicio de los derechos de acceso, rectificación, cancelación y oposición de los datos personales en posesión del Instituto Nacional Electoral.</w:t>
      </w:r>
    </w:p>
    <w:p w:rsidR="00CD1945" w:rsidRDefault="00CD1945" w:rsidP="00CD1945">
      <w:pPr>
        <w:tabs>
          <w:tab w:val="left" w:pos="567"/>
        </w:tabs>
        <w:spacing w:after="0"/>
        <w:ind w:right="-1"/>
        <w:jc w:val="both"/>
        <w:rPr>
          <w:rFonts w:ascii="Gothic720 BT" w:hAnsi="Gothic720 BT"/>
        </w:rPr>
      </w:pPr>
    </w:p>
    <w:p w:rsidR="00CD1945" w:rsidRDefault="00CD1945" w:rsidP="00CD1945">
      <w:pPr>
        <w:tabs>
          <w:tab w:val="left" w:pos="567"/>
        </w:tabs>
        <w:spacing w:after="0"/>
        <w:ind w:right="-1"/>
        <w:jc w:val="both"/>
        <w:rPr>
          <w:rFonts w:ascii="Gothic720 BT" w:hAnsi="Gothic720 BT"/>
          <w:b/>
        </w:rPr>
      </w:pPr>
      <w:r>
        <w:rPr>
          <w:rFonts w:ascii="Gothic720 BT" w:hAnsi="Gothic720 BT"/>
          <w:b/>
        </w:rPr>
        <w:lastRenderedPageBreak/>
        <w:t>TERCERO. Notificación.</w:t>
      </w:r>
    </w:p>
    <w:p w:rsidR="00CD1945" w:rsidRDefault="00CD1945" w:rsidP="00CD1945">
      <w:pPr>
        <w:tabs>
          <w:tab w:val="left" w:pos="567"/>
        </w:tabs>
        <w:spacing w:after="0"/>
        <w:ind w:right="-1"/>
        <w:jc w:val="both"/>
        <w:rPr>
          <w:rFonts w:ascii="Gothic720 BT" w:hAnsi="Gothic720 BT"/>
        </w:rPr>
      </w:pPr>
    </w:p>
    <w:p w:rsidR="00CD1945" w:rsidRDefault="00CD1945" w:rsidP="00CD1945">
      <w:pPr>
        <w:tabs>
          <w:tab w:val="left" w:pos="567"/>
        </w:tabs>
        <w:spacing w:after="0"/>
        <w:ind w:right="-1"/>
        <w:jc w:val="both"/>
        <w:rPr>
          <w:rFonts w:ascii="Gothic720 BT" w:hAnsi="Gothic720 BT"/>
        </w:rPr>
      </w:pPr>
      <w:r>
        <w:rPr>
          <w:rFonts w:ascii="Gothic720 BT" w:hAnsi="Gothic720 BT"/>
        </w:rPr>
        <w:t>9. En</w:t>
      </w:r>
      <w:r w:rsidRPr="00252D5C">
        <w:rPr>
          <w:rFonts w:ascii="Gothic720 BT" w:hAnsi="Gothic720 BT"/>
        </w:rPr>
        <w:t xml:space="preserve"> </w:t>
      </w:r>
      <w:r>
        <w:rPr>
          <w:rFonts w:ascii="Gothic720 BT" w:hAnsi="Gothic720 BT"/>
        </w:rPr>
        <w:t>atención a que de los</w:t>
      </w:r>
      <w:r w:rsidRPr="00555A05">
        <w:rPr>
          <w:rFonts w:ascii="Gothic720 BT" w:hAnsi="Gothic720 BT"/>
        </w:rPr>
        <w:t xml:space="preserve"> escrito</w:t>
      </w:r>
      <w:r>
        <w:rPr>
          <w:rFonts w:ascii="Gothic720 BT" w:hAnsi="Gothic720 BT"/>
        </w:rPr>
        <w:t>s</w:t>
      </w:r>
      <w:r w:rsidRPr="00555A05">
        <w:rPr>
          <w:rFonts w:ascii="Gothic720 BT" w:hAnsi="Gothic720 BT"/>
        </w:rPr>
        <w:t xml:space="preserve"> de cuenta no se advierte</w:t>
      </w:r>
      <w:r>
        <w:rPr>
          <w:rFonts w:ascii="Gothic720 BT" w:hAnsi="Gothic720 BT"/>
        </w:rPr>
        <w:t>n</w:t>
      </w:r>
      <w:r w:rsidRPr="00555A05">
        <w:rPr>
          <w:rFonts w:ascii="Gothic720 BT" w:hAnsi="Gothic720 BT"/>
        </w:rPr>
        <w:t xml:space="preserve"> domicilio</w:t>
      </w:r>
      <w:r>
        <w:rPr>
          <w:rFonts w:ascii="Gothic720 BT" w:hAnsi="Gothic720 BT"/>
        </w:rPr>
        <w:t>s</w:t>
      </w:r>
      <w:r w:rsidRPr="00555A05">
        <w:rPr>
          <w:rFonts w:ascii="Gothic720 BT" w:hAnsi="Gothic720 BT"/>
        </w:rPr>
        <w:t xml:space="preserve"> para oír y recibir notificaciones, se ordena notificar la presente determinación a través de los estrados del Consejo General, en términos de la Ley de Medios de Impugnación en Materia Electoral del Estado de Querétaro.</w:t>
      </w:r>
    </w:p>
    <w:p w:rsidR="00CD1945" w:rsidRDefault="00CD1945" w:rsidP="00CD1945">
      <w:pPr>
        <w:tabs>
          <w:tab w:val="left" w:pos="567"/>
        </w:tabs>
        <w:spacing w:after="0"/>
        <w:ind w:right="-1"/>
        <w:jc w:val="both"/>
        <w:rPr>
          <w:rFonts w:ascii="Gothic720 BT" w:hAnsi="Gothic720 BT"/>
        </w:rPr>
      </w:pPr>
    </w:p>
    <w:p w:rsidR="00CD1945" w:rsidRPr="00252D5C" w:rsidRDefault="00CD1945" w:rsidP="00CD1945">
      <w:pPr>
        <w:tabs>
          <w:tab w:val="left" w:pos="567"/>
        </w:tabs>
        <w:spacing w:after="0"/>
        <w:ind w:right="-1"/>
        <w:jc w:val="both"/>
        <w:rPr>
          <w:rFonts w:ascii="Gothic720 BT" w:hAnsi="Gothic720 BT"/>
        </w:rPr>
      </w:pPr>
      <w:r>
        <w:rPr>
          <w:rFonts w:ascii="Gothic720 BT" w:hAnsi="Gothic720 BT"/>
        </w:rPr>
        <w:t xml:space="preserve">10. </w:t>
      </w:r>
      <w:r w:rsidRPr="00CA0D9B">
        <w:rPr>
          <w:rFonts w:ascii="Gothic720 BT" w:hAnsi="Gothic720 BT"/>
        </w:rPr>
        <w:t>Cabe mencionar que el funcionariado designado para llevar a cabo la</w:t>
      </w:r>
      <w:r>
        <w:rPr>
          <w:rFonts w:ascii="Gothic720 BT" w:hAnsi="Gothic720 BT"/>
        </w:rPr>
        <w:t>s notificaciones</w:t>
      </w:r>
      <w:r w:rsidRPr="00CA0D9B">
        <w:rPr>
          <w:rFonts w:ascii="Gothic720 BT" w:hAnsi="Gothic720 BT"/>
        </w:rPr>
        <w:t xml:space="preserve"> deberá adoptar las medidas sanitarias que correspondan relacionadas con la mitigación de la propagación del </w:t>
      </w:r>
      <w:r>
        <w:rPr>
          <w:rFonts w:ascii="Gothic720 BT" w:hAnsi="Gothic720 BT"/>
        </w:rPr>
        <w:t>virus SARS-</w:t>
      </w:r>
      <w:proofErr w:type="spellStart"/>
      <w:r>
        <w:rPr>
          <w:rFonts w:ascii="Gothic720 BT" w:hAnsi="Gothic720 BT"/>
        </w:rPr>
        <w:t>CoV</w:t>
      </w:r>
      <w:proofErr w:type="spellEnd"/>
      <w:r>
        <w:rPr>
          <w:rFonts w:ascii="Gothic720 BT" w:hAnsi="Gothic720 BT"/>
        </w:rPr>
        <w:t xml:space="preserve"> 2</w:t>
      </w:r>
      <w:r w:rsidRPr="00CA0D9B">
        <w:rPr>
          <w:rFonts w:ascii="Gothic720 BT" w:hAnsi="Gothic720 BT"/>
        </w:rPr>
        <w:t>, en razón de proteger su salud y la de la</w:t>
      </w:r>
      <w:r>
        <w:rPr>
          <w:rFonts w:ascii="Gothic720 BT" w:hAnsi="Gothic720 BT"/>
        </w:rPr>
        <w:t>s</w:t>
      </w:r>
      <w:r w:rsidRPr="00CA0D9B">
        <w:rPr>
          <w:rFonts w:ascii="Gothic720 BT" w:hAnsi="Gothic720 BT"/>
        </w:rPr>
        <w:t xml:space="preserve"> persona</w:t>
      </w:r>
      <w:r>
        <w:rPr>
          <w:rFonts w:ascii="Gothic720 BT" w:hAnsi="Gothic720 BT"/>
        </w:rPr>
        <w:t>s</w:t>
      </w:r>
      <w:r w:rsidRPr="00CA0D9B">
        <w:rPr>
          <w:rFonts w:ascii="Gothic720 BT" w:hAnsi="Gothic720 BT"/>
        </w:rPr>
        <w:t xml:space="preserve"> que sea</w:t>
      </w:r>
      <w:r>
        <w:rPr>
          <w:rFonts w:ascii="Gothic720 BT" w:hAnsi="Gothic720 BT"/>
        </w:rPr>
        <w:t>n</w:t>
      </w:r>
      <w:r w:rsidRPr="00CA0D9B">
        <w:rPr>
          <w:rFonts w:ascii="Gothic720 BT" w:hAnsi="Gothic720 BT"/>
        </w:rPr>
        <w:t xml:space="preserve"> notificada</w:t>
      </w:r>
      <w:r>
        <w:rPr>
          <w:rFonts w:ascii="Gothic720 BT" w:hAnsi="Gothic720 BT"/>
        </w:rPr>
        <w:t>s</w:t>
      </w:r>
      <w:r w:rsidRPr="00CA0D9B">
        <w:rPr>
          <w:rFonts w:ascii="Gothic720 BT" w:hAnsi="Gothic720 BT"/>
        </w:rPr>
        <w:t>.</w:t>
      </w:r>
    </w:p>
    <w:p w:rsidR="00CD1945" w:rsidRPr="003E6941" w:rsidRDefault="00CD1945" w:rsidP="00CD1945">
      <w:pPr>
        <w:tabs>
          <w:tab w:val="left" w:pos="567"/>
        </w:tabs>
        <w:spacing w:after="0"/>
        <w:ind w:right="-1"/>
        <w:jc w:val="both"/>
        <w:rPr>
          <w:rFonts w:ascii="Gothic720 BT" w:hAnsi="Gothic720 BT"/>
        </w:rPr>
      </w:pPr>
    </w:p>
    <w:p w:rsidR="00CD1945" w:rsidRDefault="00CD1945" w:rsidP="00CD1945">
      <w:pPr>
        <w:tabs>
          <w:tab w:val="left" w:pos="567"/>
        </w:tabs>
        <w:spacing w:after="0"/>
        <w:ind w:right="-3"/>
        <w:jc w:val="both"/>
        <w:rPr>
          <w:rFonts w:ascii="Gothic720 BT" w:hAnsi="Gothic720 BT" w:cs="Arial"/>
          <w:b/>
        </w:rPr>
      </w:pPr>
      <w:r w:rsidRPr="005D4169">
        <w:rPr>
          <w:rFonts w:ascii="Gothic720 BT" w:hAnsi="Gothic720 BT" w:cs="Arial"/>
          <w:b/>
        </w:rPr>
        <w:t xml:space="preserve">Notifíquese </w:t>
      </w:r>
      <w:r>
        <w:rPr>
          <w:rFonts w:ascii="Gothic720 BT" w:hAnsi="Gothic720 BT" w:cs="Arial"/>
          <w:b/>
        </w:rPr>
        <w:t>por oficio</w:t>
      </w:r>
      <w:r w:rsidRPr="005D4169">
        <w:rPr>
          <w:rFonts w:ascii="Gothic720 BT" w:hAnsi="Gothic720 BT" w:cs="Arial"/>
          <w:b/>
        </w:rPr>
        <w:t xml:space="preserve"> </w:t>
      </w:r>
      <w:r>
        <w:rPr>
          <w:rFonts w:ascii="Gothic720 BT" w:hAnsi="Gothic720 BT" w:cs="Arial"/>
          <w:b/>
        </w:rPr>
        <w:t>a la representación del partido Encuentro Solidario</w:t>
      </w:r>
      <w:r w:rsidRPr="005D4169">
        <w:rPr>
          <w:rFonts w:ascii="Gothic720 BT" w:hAnsi="Gothic720 BT" w:cs="Arial"/>
          <w:b/>
        </w:rPr>
        <w:t xml:space="preserve"> y en los estrados, con fundamento en los artículos 50, fracciones </w:t>
      </w:r>
      <w:r>
        <w:rPr>
          <w:rFonts w:ascii="Gothic720 BT" w:hAnsi="Gothic720 BT" w:cs="Arial"/>
          <w:b/>
        </w:rPr>
        <w:t>I</w:t>
      </w:r>
      <w:r w:rsidRPr="005D4169">
        <w:rPr>
          <w:rFonts w:ascii="Gothic720 BT" w:hAnsi="Gothic720 BT" w:cs="Arial"/>
          <w:b/>
        </w:rPr>
        <w:t>I y I</w:t>
      </w:r>
      <w:r>
        <w:rPr>
          <w:rFonts w:ascii="Gothic720 BT" w:hAnsi="Gothic720 BT" w:cs="Arial"/>
          <w:b/>
        </w:rPr>
        <w:t>I</w:t>
      </w:r>
      <w:r w:rsidRPr="005D4169">
        <w:rPr>
          <w:rFonts w:ascii="Gothic720 BT" w:hAnsi="Gothic720 BT" w:cs="Arial"/>
          <w:b/>
        </w:rPr>
        <w:t>I, 52</w:t>
      </w:r>
      <w:r>
        <w:rPr>
          <w:rFonts w:ascii="Gothic720 BT" w:hAnsi="Gothic720 BT" w:cs="Arial"/>
          <w:b/>
        </w:rPr>
        <w:t>, 53</w:t>
      </w:r>
      <w:r w:rsidRPr="005D4169">
        <w:rPr>
          <w:rFonts w:ascii="Gothic720 BT" w:hAnsi="Gothic720 BT" w:cs="Arial"/>
          <w:b/>
        </w:rPr>
        <w:t xml:space="preserve"> y 56, fracciones I y II de la L</w:t>
      </w:r>
      <w:r>
        <w:rPr>
          <w:rFonts w:ascii="Gothic720 BT" w:hAnsi="Gothic720 BT" w:cs="Arial"/>
          <w:b/>
        </w:rPr>
        <w:t>ey de Medios de Impugnación en M</w:t>
      </w:r>
      <w:r w:rsidRPr="005D4169">
        <w:rPr>
          <w:rFonts w:ascii="Gothic720 BT" w:hAnsi="Gothic720 BT" w:cs="Arial"/>
          <w:b/>
        </w:rPr>
        <w:t>ate</w:t>
      </w:r>
      <w:r>
        <w:rPr>
          <w:rFonts w:ascii="Gothic720 BT" w:hAnsi="Gothic720 BT" w:cs="Arial"/>
          <w:b/>
        </w:rPr>
        <w:t>ria E</w:t>
      </w:r>
      <w:r w:rsidRPr="005D4169">
        <w:rPr>
          <w:rFonts w:ascii="Gothic720 BT" w:hAnsi="Gothic720 BT" w:cs="Arial"/>
          <w:b/>
        </w:rPr>
        <w:t>lectoral del Estado de Querétaro.</w:t>
      </w:r>
    </w:p>
    <w:p w:rsidR="00CD1945" w:rsidRDefault="00CD1945" w:rsidP="00CD1945">
      <w:pPr>
        <w:tabs>
          <w:tab w:val="left" w:pos="567"/>
        </w:tabs>
        <w:spacing w:after="0"/>
        <w:jc w:val="both"/>
        <w:rPr>
          <w:rFonts w:ascii="Gothic720 BT" w:hAnsi="Gothic720 BT"/>
          <w:b/>
        </w:rPr>
      </w:pPr>
    </w:p>
    <w:p w:rsidR="00CD1945" w:rsidRPr="003C5269" w:rsidRDefault="00CD1945" w:rsidP="00CD1945">
      <w:pPr>
        <w:spacing w:after="0"/>
        <w:jc w:val="both"/>
        <w:rPr>
          <w:rFonts w:ascii="Gothic720 BT" w:hAnsi="Gothic720 BT"/>
          <w:b/>
        </w:rPr>
      </w:pPr>
      <w:r w:rsidRPr="006412A5">
        <w:rPr>
          <w:rFonts w:ascii="Gothic720 BT" w:hAnsi="Gothic720 BT"/>
        </w:rPr>
        <w:t>Así lo</w:t>
      </w:r>
      <w:r w:rsidRPr="003C5269">
        <w:rPr>
          <w:rFonts w:ascii="Gothic720 BT" w:hAnsi="Gothic720 BT"/>
        </w:rPr>
        <w:t xml:space="preserve"> acordó </w:t>
      </w:r>
      <w:r w:rsidRPr="006412A5">
        <w:rPr>
          <w:rFonts w:ascii="Gothic720 BT" w:hAnsi="Gothic720 BT"/>
        </w:rPr>
        <w:t xml:space="preserve">el </w:t>
      </w:r>
      <w:r>
        <w:rPr>
          <w:rFonts w:ascii="Gothic720 BT" w:hAnsi="Gothic720 BT"/>
        </w:rPr>
        <w:t>Encargado de D</w:t>
      </w:r>
      <w:r w:rsidRPr="006412A5">
        <w:rPr>
          <w:rFonts w:ascii="Gothic720 BT" w:hAnsi="Gothic720 BT"/>
        </w:rPr>
        <w:t>espacho de la Secretaría Ejecutiva</w:t>
      </w:r>
      <w:r w:rsidRPr="003C5269">
        <w:rPr>
          <w:rFonts w:ascii="Gothic720 BT" w:hAnsi="Gothic720 BT"/>
        </w:rPr>
        <w:t xml:space="preserve"> del Instituto Electoral del Estado de Querétaro</w:t>
      </w:r>
      <w:r>
        <w:rPr>
          <w:rFonts w:ascii="Gothic720 BT" w:hAnsi="Gothic720 BT"/>
        </w:rPr>
        <w:t>,</w:t>
      </w:r>
      <w:r w:rsidRPr="003C5269">
        <w:rPr>
          <w:rFonts w:ascii="Gothic720 BT" w:hAnsi="Gothic720 BT"/>
        </w:rPr>
        <w:t xml:space="preserve"> de conformidad con el artículo 63, fracción XXXI de la Ley Electoral del Estado de Querétaro, para su debida constancia legal. </w:t>
      </w:r>
      <w:r w:rsidRPr="003C5269">
        <w:rPr>
          <w:rFonts w:ascii="Gothic720 BT" w:hAnsi="Gothic720 BT"/>
          <w:b/>
        </w:rPr>
        <w:t>DOY FE.</w:t>
      </w:r>
    </w:p>
    <w:p w:rsidR="00CD1945" w:rsidRDefault="00CD1945" w:rsidP="00CD1945">
      <w:pPr>
        <w:spacing w:after="0"/>
        <w:jc w:val="both"/>
        <w:rPr>
          <w:rFonts w:ascii="Gothic720 BT" w:hAnsi="Gothic720 BT"/>
          <w:b/>
          <w:sz w:val="18"/>
        </w:rPr>
      </w:pPr>
    </w:p>
    <w:p w:rsidR="00CD1945" w:rsidRPr="003C5269" w:rsidRDefault="00CD1945" w:rsidP="00CD1945">
      <w:pPr>
        <w:spacing w:after="0"/>
        <w:jc w:val="both"/>
        <w:rPr>
          <w:rFonts w:ascii="Gothic720 BT" w:hAnsi="Gothic720 BT"/>
          <w:b/>
          <w:sz w:val="18"/>
        </w:rPr>
      </w:pPr>
    </w:p>
    <w:p w:rsidR="00CD1945" w:rsidRPr="003C5269" w:rsidRDefault="00CD1945" w:rsidP="00CD1945">
      <w:pPr>
        <w:spacing w:after="0"/>
        <w:jc w:val="both"/>
        <w:rPr>
          <w:rFonts w:ascii="Gothic720 BT" w:hAnsi="Gothic720 BT"/>
          <w:b/>
        </w:rPr>
      </w:pPr>
    </w:p>
    <w:p w:rsidR="00CD1945" w:rsidRDefault="00CD1945" w:rsidP="00CD1945">
      <w:pPr>
        <w:spacing w:after="0"/>
        <w:jc w:val="center"/>
        <w:rPr>
          <w:rFonts w:ascii="Gothic720 BT" w:hAnsi="Gothic720 BT"/>
          <w:b/>
        </w:rPr>
      </w:pPr>
      <w:r>
        <w:rPr>
          <w:rFonts w:ascii="Gothic720 BT" w:hAnsi="Gothic720 BT"/>
          <w:b/>
        </w:rPr>
        <w:t>Mtro. Carlos Alejandro Pérez Espíndola</w:t>
      </w:r>
    </w:p>
    <w:p w:rsidR="00CD1945" w:rsidRDefault="00CD1945" w:rsidP="00CD1945">
      <w:pPr>
        <w:spacing w:after="0"/>
        <w:jc w:val="center"/>
        <w:rPr>
          <w:rFonts w:ascii="Gothic720 BT" w:hAnsi="Gothic720 BT"/>
          <w:b/>
        </w:rPr>
      </w:pPr>
      <w:r>
        <w:rPr>
          <w:rFonts w:ascii="Gothic720 BT" w:hAnsi="Gothic720 BT"/>
        </w:rPr>
        <w:t>Encargado de despacho de la Secretaría Ejecutiva</w:t>
      </w:r>
      <w:r>
        <w:rPr>
          <w:rFonts w:ascii="Gothic720 BT" w:hAnsi="Gothic720 BT"/>
          <w:b/>
        </w:rPr>
        <w:t xml:space="preserve"> </w:t>
      </w:r>
    </w:p>
    <w:p w:rsidR="00CD1945" w:rsidRDefault="00CD1945" w:rsidP="00CD1945">
      <w:pPr>
        <w:spacing w:after="0"/>
        <w:jc w:val="center"/>
        <w:rPr>
          <w:rFonts w:ascii="Gothic720 BT" w:hAnsi="Gothic720 BT"/>
          <w:b/>
        </w:rPr>
      </w:pPr>
    </w:p>
    <w:p w:rsidR="00CD1945" w:rsidRPr="002D22A9" w:rsidRDefault="00CD1945" w:rsidP="00CD1945">
      <w:pPr>
        <w:rPr>
          <w:rFonts w:ascii="Gothic720 BT" w:hAnsi="Gothic720 BT"/>
          <w:sz w:val="20"/>
        </w:rPr>
      </w:pPr>
      <w:r>
        <w:rPr>
          <w:rFonts w:ascii="Gothic720 BT" w:hAnsi="Gothic720 BT"/>
          <w:sz w:val="16"/>
        </w:rPr>
        <w:t xml:space="preserve">Elaboró: GSMV / Revisó: </w:t>
      </w:r>
      <w:r w:rsidRPr="002D22A9">
        <w:rPr>
          <w:rFonts w:ascii="Gothic720 BT" w:hAnsi="Gothic720 BT"/>
          <w:sz w:val="16"/>
        </w:rPr>
        <w:t>UICA</w:t>
      </w:r>
      <w:r>
        <w:rPr>
          <w:rFonts w:ascii="Gothic720 BT" w:hAnsi="Gothic720 BT"/>
          <w:sz w:val="16"/>
        </w:rPr>
        <w:t xml:space="preserve"> / Validó: JRH.</w:t>
      </w:r>
    </w:p>
    <w:p w:rsidR="00141CAB" w:rsidRDefault="00141CAB" w:rsidP="00466BE0">
      <w:pPr>
        <w:spacing w:after="160" w:line="259" w:lineRule="auto"/>
        <w:rPr>
          <w:rFonts w:ascii="Gothic720 BT" w:hAnsi="Gothic720 BT"/>
        </w:rPr>
      </w:pPr>
      <w:bookmarkStart w:id="0" w:name="_GoBack"/>
      <w:bookmarkEnd w:id="0"/>
    </w:p>
    <w:sectPr w:rsidR="00141CAB" w:rsidSect="00A5357B">
      <w:pgSz w:w="12240" w:h="15840"/>
      <w:pgMar w:top="3119" w:right="1469" w:bottom="851" w:left="26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0B3" w:rsidRDefault="002E30B3" w:rsidP="00660FE8">
      <w:pPr>
        <w:spacing w:after="0" w:line="240" w:lineRule="auto"/>
      </w:pPr>
      <w:r>
        <w:separator/>
      </w:r>
    </w:p>
  </w:endnote>
  <w:endnote w:type="continuationSeparator" w:id="0">
    <w:p w:rsidR="002E30B3" w:rsidRDefault="002E30B3" w:rsidP="0066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0B3" w:rsidRDefault="002E30B3" w:rsidP="00660FE8">
      <w:pPr>
        <w:spacing w:after="0" w:line="240" w:lineRule="auto"/>
      </w:pPr>
      <w:r>
        <w:separator/>
      </w:r>
    </w:p>
  </w:footnote>
  <w:footnote w:type="continuationSeparator" w:id="0">
    <w:p w:rsidR="002E30B3" w:rsidRDefault="002E30B3" w:rsidP="00660FE8">
      <w:pPr>
        <w:spacing w:after="0" w:line="240" w:lineRule="auto"/>
      </w:pPr>
      <w:r>
        <w:continuationSeparator/>
      </w:r>
    </w:p>
  </w:footnote>
  <w:footnote w:id="1">
    <w:p w:rsidR="00CD1945" w:rsidRPr="00517472" w:rsidRDefault="00CD1945" w:rsidP="00CD1945">
      <w:pPr>
        <w:pStyle w:val="Textonotapie"/>
        <w:jc w:val="both"/>
        <w:rPr>
          <w:rFonts w:ascii="Gothic720 BT" w:hAnsi="Gothic720 BT"/>
          <w:sz w:val="16"/>
          <w:szCs w:val="16"/>
        </w:rPr>
      </w:pPr>
      <w:r w:rsidRPr="00517472">
        <w:rPr>
          <w:rStyle w:val="Refdenotaalpie"/>
          <w:rFonts w:ascii="Gothic720 BT" w:hAnsi="Gothic720 BT"/>
          <w:sz w:val="16"/>
          <w:szCs w:val="16"/>
        </w:rPr>
        <w:footnoteRef/>
      </w:r>
      <w:r w:rsidRPr="00517472">
        <w:rPr>
          <w:rFonts w:ascii="Gothic720 BT" w:hAnsi="Gothic720 BT"/>
          <w:sz w:val="16"/>
          <w:szCs w:val="16"/>
        </w:rPr>
        <w:t xml:space="preserve"> En los folios 1230, 1231, 1262, 1263, 1264 y 1265 anexan copia simple de la credencial para votar.</w:t>
      </w:r>
    </w:p>
  </w:footnote>
  <w:footnote w:id="2">
    <w:p w:rsidR="00CD1945" w:rsidRPr="00517472" w:rsidRDefault="00CD1945" w:rsidP="00CD1945">
      <w:pPr>
        <w:pStyle w:val="Textonotapie"/>
        <w:jc w:val="both"/>
        <w:rPr>
          <w:rFonts w:ascii="Gothic720 BT" w:hAnsi="Gothic720 BT"/>
          <w:sz w:val="16"/>
          <w:szCs w:val="16"/>
        </w:rPr>
      </w:pPr>
      <w:r w:rsidRPr="00517472">
        <w:rPr>
          <w:rStyle w:val="Refdenotaalpie"/>
          <w:rFonts w:ascii="Gothic720 BT" w:hAnsi="Gothic720 BT"/>
          <w:sz w:val="16"/>
          <w:szCs w:val="16"/>
        </w:rPr>
        <w:footnoteRef/>
      </w:r>
      <w:r w:rsidRPr="00517472">
        <w:rPr>
          <w:rFonts w:ascii="Gothic720 BT" w:hAnsi="Gothic720 BT"/>
          <w:sz w:val="16"/>
          <w:szCs w:val="16"/>
        </w:rPr>
        <w:t xml:space="preserve"> En lo subsecuente se entiende que los documentos referidos se recibieron en la Oficialía de Partes del Instituto. </w:t>
      </w:r>
    </w:p>
  </w:footnote>
  <w:footnote w:id="3">
    <w:p w:rsidR="00CD1945" w:rsidRPr="00517472" w:rsidRDefault="00CD1945" w:rsidP="00CD1945">
      <w:pPr>
        <w:pStyle w:val="Textonotapie"/>
        <w:rPr>
          <w:rFonts w:ascii="Gothic720 BT" w:hAnsi="Gothic720 BT"/>
          <w:sz w:val="16"/>
          <w:szCs w:val="16"/>
        </w:rPr>
      </w:pPr>
      <w:r w:rsidRPr="00517472">
        <w:rPr>
          <w:rStyle w:val="Refdenotaalpie"/>
          <w:rFonts w:ascii="Gothic720 BT" w:hAnsi="Gothic720 BT"/>
          <w:sz w:val="16"/>
          <w:szCs w:val="16"/>
        </w:rPr>
        <w:footnoteRef/>
      </w:r>
      <w:r w:rsidRPr="00517472">
        <w:rPr>
          <w:rFonts w:ascii="Gothic720 BT" w:hAnsi="Gothic720 BT"/>
          <w:sz w:val="16"/>
          <w:szCs w:val="16"/>
        </w:rPr>
        <w:t xml:space="preserve"> En adelante Instituto.</w:t>
      </w:r>
    </w:p>
  </w:footnote>
  <w:footnote w:id="4">
    <w:p w:rsidR="00CD1945" w:rsidRPr="00517472" w:rsidRDefault="00CD1945" w:rsidP="00CD1945">
      <w:pPr>
        <w:pStyle w:val="Textonotapie"/>
        <w:jc w:val="both"/>
        <w:rPr>
          <w:rFonts w:ascii="Gothic720 BT" w:hAnsi="Gothic720 BT"/>
          <w:sz w:val="16"/>
          <w:szCs w:val="16"/>
        </w:rPr>
      </w:pPr>
      <w:r w:rsidRPr="00517472">
        <w:rPr>
          <w:rStyle w:val="Refdenotaalpie"/>
          <w:rFonts w:ascii="Gothic720 BT" w:hAnsi="Gothic720 BT"/>
          <w:sz w:val="16"/>
          <w:szCs w:val="16"/>
        </w:rPr>
        <w:footnoteRef/>
      </w:r>
      <w:r w:rsidRPr="00517472">
        <w:rPr>
          <w:rFonts w:ascii="Gothic720 BT" w:hAnsi="Gothic720 BT"/>
          <w:sz w:val="16"/>
          <w:szCs w:val="16"/>
        </w:rPr>
        <w:t xml:space="preserve"> Las fechas que se señalan en lo subsecuente, salvo mención diversa, corresponden a dos mil veinte. </w:t>
      </w:r>
    </w:p>
  </w:footnote>
  <w:footnote w:id="5">
    <w:p w:rsidR="00CD1945" w:rsidRPr="002519C1" w:rsidRDefault="00CD1945" w:rsidP="00CD1945">
      <w:pPr>
        <w:pStyle w:val="Textonotapie"/>
        <w:jc w:val="both"/>
        <w:rPr>
          <w:rFonts w:ascii="Gothic720 BT" w:hAnsi="Gothic720 BT"/>
          <w:sz w:val="16"/>
          <w:szCs w:val="16"/>
        </w:rPr>
      </w:pPr>
      <w:r w:rsidRPr="00517472">
        <w:rPr>
          <w:rStyle w:val="Refdenotaalpie"/>
          <w:rFonts w:ascii="Gothic720 BT" w:hAnsi="Gothic720 BT"/>
          <w:sz w:val="16"/>
          <w:szCs w:val="16"/>
        </w:rPr>
        <w:footnoteRef/>
      </w:r>
      <w:r w:rsidRPr="00517472">
        <w:rPr>
          <w:rFonts w:ascii="Gothic720 BT" w:hAnsi="Gothic720 BT"/>
          <w:sz w:val="16"/>
          <w:szCs w:val="16"/>
        </w:rPr>
        <w:t xml:space="preserve"> Cabe señalar que, la primera foja de los escritos de cuenta registrados con los folios 1230, 1231, 1232, contiene impreso en la parte posterior el acuse</w:t>
      </w:r>
      <w:r w:rsidRPr="002519C1">
        <w:rPr>
          <w:rFonts w:ascii="Gothic720 BT" w:hAnsi="Gothic720 BT"/>
          <w:sz w:val="16"/>
          <w:szCs w:val="16"/>
        </w:rPr>
        <w:t xml:space="preserve"> emitido por este Instituto, en los folios 1261, 1262, 1263, 1264 y 1265 se insertó una foja en cada uno correspondiente al acuse emitido por este organismo público local.  </w:t>
      </w:r>
    </w:p>
  </w:footnote>
  <w:footnote w:id="6">
    <w:p w:rsidR="00CD1945" w:rsidRPr="002519C1" w:rsidRDefault="00CD1945" w:rsidP="00CD1945">
      <w:pPr>
        <w:pStyle w:val="Textonotapie"/>
        <w:jc w:val="both"/>
        <w:rPr>
          <w:rFonts w:ascii="Gothic720 BT" w:hAnsi="Gothic720 BT"/>
          <w:sz w:val="16"/>
          <w:szCs w:val="16"/>
        </w:rPr>
      </w:pPr>
      <w:r w:rsidRPr="002519C1">
        <w:rPr>
          <w:rStyle w:val="Refdenotaalpie"/>
          <w:rFonts w:ascii="Gothic720 BT" w:hAnsi="Gothic720 BT"/>
          <w:sz w:val="16"/>
          <w:szCs w:val="16"/>
        </w:rPr>
        <w:footnoteRef/>
      </w:r>
      <w:r w:rsidRPr="002519C1">
        <w:rPr>
          <w:rFonts w:ascii="Gothic720 BT" w:hAnsi="Gothic720 BT"/>
          <w:sz w:val="16"/>
          <w:szCs w:val="16"/>
        </w:rPr>
        <w:t xml:space="preserve"> En adelante Constitución Federal.</w:t>
      </w:r>
    </w:p>
  </w:footnote>
  <w:footnote w:id="7">
    <w:p w:rsidR="00CD1945" w:rsidRPr="002519C1" w:rsidRDefault="00CD1945" w:rsidP="00CD1945">
      <w:pPr>
        <w:pStyle w:val="Textonotapie"/>
        <w:jc w:val="both"/>
        <w:rPr>
          <w:rFonts w:ascii="Gothic720 BT" w:hAnsi="Gothic720 BT"/>
          <w:sz w:val="16"/>
          <w:szCs w:val="16"/>
        </w:rPr>
      </w:pPr>
      <w:r w:rsidRPr="002519C1">
        <w:rPr>
          <w:rStyle w:val="Refdenotaalpie"/>
          <w:rFonts w:ascii="Gothic720 BT" w:hAnsi="Gothic720 BT"/>
          <w:sz w:val="16"/>
          <w:szCs w:val="16"/>
        </w:rPr>
        <w:footnoteRef/>
      </w:r>
      <w:r w:rsidRPr="002519C1">
        <w:rPr>
          <w:rFonts w:ascii="Gothic720 BT" w:hAnsi="Gothic720 BT"/>
          <w:sz w:val="16"/>
          <w:szCs w:val="16"/>
        </w:rPr>
        <w:t xml:space="preserve"> En adelante Ley de Partidos.</w:t>
      </w:r>
    </w:p>
  </w:footnote>
  <w:footnote w:id="8">
    <w:p w:rsidR="00CD1945" w:rsidRPr="002519C1" w:rsidRDefault="00CD1945" w:rsidP="00CD1945">
      <w:pPr>
        <w:pStyle w:val="Sinespaciado"/>
        <w:jc w:val="both"/>
        <w:rPr>
          <w:rFonts w:ascii="Gothic720 BT" w:hAnsi="Gothic720 BT"/>
          <w:sz w:val="16"/>
          <w:szCs w:val="16"/>
        </w:rPr>
      </w:pPr>
      <w:r w:rsidRPr="002519C1">
        <w:rPr>
          <w:rStyle w:val="Refdenotaalpie"/>
          <w:rFonts w:ascii="Gothic720 BT" w:hAnsi="Gothic720 BT"/>
          <w:sz w:val="16"/>
          <w:szCs w:val="16"/>
        </w:rPr>
        <w:footnoteRef/>
      </w:r>
      <w:r w:rsidRPr="002519C1">
        <w:rPr>
          <w:rFonts w:ascii="Gothic720 BT" w:hAnsi="Gothic720 BT"/>
          <w:sz w:val="16"/>
          <w:szCs w:val="16"/>
        </w:rPr>
        <w:t xml:space="preserve"> En adelante Instituto Nacional.</w:t>
      </w:r>
    </w:p>
  </w:footnote>
  <w:footnote w:id="9">
    <w:p w:rsidR="00CD1945" w:rsidRPr="002519C1" w:rsidRDefault="00CD1945" w:rsidP="00CD1945">
      <w:pPr>
        <w:pStyle w:val="Sinespaciado"/>
        <w:jc w:val="both"/>
        <w:rPr>
          <w:rFonts w:ascii="Gothic720 BT" w:hAnsi="Gothic720 BT"/>
          <w:sz w:val="16"/>
          <w:szCs w:val="16"/>
        </w:rPr>
      </w:pPr>
      <w:r w:rsidRPr="002519C1">
        <w:rPr>
          <w:rStyle w:val="Refdenotaalpie"/>
          <w:rFonts w:ascii="Gothic720 BT" w:hAnsi="Gothic720 BT"/>
          <w:sz w:val="16"/>
          <w:szCs w:val="16"/>
        </w:rPr>
        <w:footnoteRef/>
      </w:r>
      <w:r w:rsidRPr="002519C1">
        <w:rPr>
          <w:rFonts w:ascii="Gothic720 BT" w:hAnsi="Gothic720 BT"/>
          <w:sz w:val="16"/>
          <w:szCs w:val="16"/>
        </w:rPr>
        <w:t xml:space="preserve"> </w:t>
      </w:r>
      <w:r w:rsidRPr="002519C1">
        <w:rPr>
          <w:rStyle w:val="SinespaciadoCar"/>
          <w:rFonts w:ascii="Gothic720 BT" w:hAnsi="Gothic720 BT"/>
          <w:sz w:val="16"/>
          <w:szCs w:val="16"/>
        </w:rPr>
        <w:t xml:space="preserve">Denominados: Acuerdo del Consejo General del Instituto Nacional Electoral por el que se aprueban los Lineamientos para la verificación de los padrones de afiliados de los partidos políticos nacionales para la conservación de su registro, y, su publicidad, así como para el ejercicio de los derechos de acceso, rectificación, cancelación y oposiciones de los datos personales en posesión del Instituto Nacional Electoral y Acuerdo del Consejo General del Instituto Nacional Electoral por el que se aprueban los Lineamientos para la verificación de los padrones afiliados de los Partidos Políticos Locales para la conservación de su registro y su publicidad, así como criterios generales para el ejercicio de los derechos de acceso, rectificación, cancelación y oposición de los datos personales en posesión de los sujetos obligados. Consultables en las ligas de internet siguientes: https://repositoriodocumental.ine.mx/xmlui/bitstream/handle/123456789/77899/CGex201603-30_ap_22.pdf?sequence=1&amp;isAllowed=y y </w:t>
      </w:r>
      <w:hyperlink r:id="rId1" w:history="1">
        <w:r w:rsidRPr="002519C1">
          <w:rPr>
            <w:rStyle w:val="Hipervnculo"/>
            <w:rFonts w:ascii="Gothic720 BT" w:hAnsi="Gothic720 BT"/>
            <w:color w:val="auto"/>
            <w:sz w:val="16"/>
            <w:szCs w:val="16"/>
            <w:u w:val="none"/>
          </w:rPr>
          <w:t>https://repositoriodocumental.ine.mx/xmlui/bitstream/handle/1 23456789/93968/CGex201612-14-ap-16.pdf?sequence=1</w:t>
        </w:r>
      </w:hyperlink>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lises murillo">
    <w15:presenceInfo w15:providerId="Windows Live" w15:userId="f4fe02b7cf5d6e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E8"/>
    <w:rsid w:val="00022AB8"/>
    <w:rsid w:val="00061721"/>
    <w:rsid w:val="000E69B7"/>
    <w:rsid w:val="001334D4"/>
    <w:rsid w:val="00141CAB"/>
    <w:rsid w:val="001443D8"/>
    <w:rsid w:val="00162D27"/>
    <w:rsid w:val="00171EC9"/>
    <w:rsid w:val="00172D26"/>
    <w:rsid w:val="001B755E"/>
    <w:rsid w:val="002519C1"/>
    <w:rsid w:val="00252D5C"/>
    <w:rsid w:val="00254D72"/>
    <w:rsid w:val="002A5DC4"/>
    <w:rsid w:val="002E30B3"/>
    <w:rsid w:val="002F41C2"/>
    <w:rsid w:val="003107FC"/>
    <w:rsid w:val="003640A6"/>
    <w:rsid w:val="00365730"/>
    <w:rsid w:val="003B2752"/>
    <w:rsid w:val="003E6941"/>
    <w:rsid w:val="00403B01"/>
    <w:rsid w:val="00407FB2"/>
    <w:rsid w:val="00433346"/>
    <w:rsid w:val="00466BE0"/>
    <w:rsid w:val="004960FC"/>
    <w:rsid w:val="004B4C79"/>
    <w:rsid w:val="004C3B3D"/>
    <w:rsid w:val="004E2264"/>
    <w:rsid w:val="004E42EE"/>
    <w:rsid w:val="00517472"/>
    <w:rsid w:val="00555A05"/>
    <w:rsid w:val="00560098"/>
    <w:rsid w:val="005B4CF7"/>
    <w:rsid w:val="005C193E"/>
    <w:rsid w:val="005E1C0A"/>
    <w:rsid w:val="006005F7"/>
    <w:rsid w:val="00610700"/>
    <w:rsid w:val="0061572B"/>
    <w:rsid w:val="00616C0A"/>
    <w:rsid w:val="00636CC2"/>
    <w:rsid w:val="0065169B"/>
    <w:rsid w:val="00660FE8"/>
    <w:rsid w:val="00697BC9"/>
    <w:rsid w:val="006C58FC"/>
    <w:rsid w:val="006E42ED"/>
    <w:rsid w:val="00730AC5"/>
    <w:rsid w:val="007632BF"/>
    <w:rsid w:val="0076579F"/>
    <w:rsid w:val="007D4AE2"/>
    <w:rsid w:val="007F5503"/>
    <w:rsid w:val="00810033"/>
    <w:rsid w:val="0081699B"/>
    <w:rsid w:val="0082347C"/>
    <w:rsid w:val="00841657"/>
    <w:rsid w:val="0087522E"/>
    <w:rsid w:val="008B12B8"/>
    <w:rsid w:val="0091732A"/>
    <w:rsid w:val="0092610B"/>
    <w:rsid w:val="00940832"/>
    <w:rsid w:val="00965DF9"/>
    <w:rsid w:val="009800DB"/>
    <w:rsid w:val="00A5357B"/>
    <w:rsid w:val="00A579E1"/>
    <w:rsid w:val="00AB1825"/>
    <w:rsid w:val="00AC4E76"/>
    <w:rsid w:val="00AE5C22"/>
    <w:rsid w:val="00B1611A"/>
    <w:rsid w:val="00B523AB"/>
    <w:rsid w:val="00B70F27"/>
    <w:rsid w:val="00BA43FF"/>
    <w:rsid w:val="00BC2450"/>
    <w:rsid w:val="00BD07F2"/>
    <w:rsid w:val="00C325BC"/>
    <w:rsid w:val="00CA0D9B"/>
    <w:rsid w:val="00CD1945"/>
    <w:rsid w:val="00CF5A31"/>
    <w:rsid w:val="00D457FB"/>
    <w:rsid w:val="00D479EB"/>
    <w:rsid w:val="00D666D8"/>
    <w:rsid w:val="00D74FAF"/>
    <w:rsid w:val="00DC0DE9"/>
    <w:rsid w:val="00DE6851"/>
    <w:rsid w:val="00DF1555"/>
    <w:rsid w:val="00E2098D"/>
    <w:rsid w:val="00E43431"/>
    <w:rsid w:val="00E52A42"/>
    <w:rsid w:val="00E56338"/>
    <w:rsid w:val="00E70F2F"/>
    <w:rsid w:val="00EA719A"/>
    <w:rsid w:val="00ED3565"/>
    <w:rsid w:val="00ED4C22"/>
    <w:rsid w:val="00ED5F16"/>
    <w:rsid w:val="00EF0C1C"/>
    <w:rsid w:val="00F00588"/>
    <w:rsid w:val="00F02688"/>
    <w:rsid w:val="00F15E16"/>
    <w:rsid w:val="00F22953"/>
    <w:rsid w:val="00F62B8B"/>
    <w:rsid w:val="00FC55F6"/>
    <w:rsid w:val="00FD4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E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0FE8"/>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customStyle="1" w:styleId="Estilo">
    <w:name w:val="Estilo"/>
    <w:rsid w:val="00660FE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660FE8"/>
  </w:style>
  <w:style w:type="paragraph" w:styleId="Sinespaciado">
    <w:name w:val="No Spacing"/>
    <w:link w:val="SinespaciadoCar"/>
    <w:uiPriority w:val="1"/>
    <w:qFormat/>
    <w:rsid w:val="00660FE8"/>
    <w:pPr>
      <w:spacing w:after="0" w:line="240" w:lineRule="auto"/>
    </w:p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660FE8"/>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660FE8"/>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uiPriority w:val="99"/>
    <w:unhideWhenUsed/>
    <w:qFormat/>
    <w:rsid w:val="00660FE8"/>
    <w:rPr>
      <w:vertAlign w:val="superscript"/>
    </w:rPr>
  </w:style>
  <w:style w:type="character" w:styleId="Hipervnculo">
    <w:name w:val="Hyperlink"/>
    <w:basedOn w:val="Fuentedeprrafopredeter"/>
    <w:uiPriority w:val="99"/>
    <w:unhideWhenUsed/>
    <w:rsid w:val="004E2264"/>
    <w:rPr>
      <w:color w:val="0563C1" w:themeColor="hyperlink"/>
      <w:u w:val="single"/>
    </w:rPr>
  </w:style>
  <w:style w:type="paragraph" w:styleId="Textodeglobo">
    <w:name w:val="Balloon Text"/>
    <w:basedOn w:val="Normal"/>
    <w:link w:val="TextodegloboCar"/>
    <w:uiPriority w:val="99"/>
    <w:semiHidden/>
    <w:unhideWhenUsed/>
    <w:rsid w:val="00E209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98D"/>
    <w:rPr>
      <w:rFonts w:ascii="Segoe UI" w:eastAsia="Calibri" w:hAnsi="Segoe UI" w:cs="Segoe UI"/>
      <w:sz w:val="18"/>
      <w:szCs w:val="18"/>
    </w:rPr>
  </w:style>
  <w:style w:type="table" w:styleId="Tablaconcuadrcula">
    <w:name w:val="Table Grid"/>
    <w:basedOn w:val="Tablanormal"/>
    <w:uiPriority w:val="59"/>
    <w:rsid w:val="0061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16C0A"/>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616C0A"/>
    <w:pPr>
      <w:spacing w:after="0" w:line="240" w:lineRule="auto"/>
      <w:ind w:left="720"/>
      <w:contextualSpacing/>
    </w:pPr>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B70F27"/>
    <w:rPr>
      <w:sz w:val="16"/>
      <w:szCs w:val="16"/>
    </w:rPr>
  </w:style>
  <w:style w:type="paragraph" w:styleId="Textocomentario">
    <w:name w:val="annotation text"/>
    <w:basedOn w:val="Normal"/>
    <w:link w:val="TextocomentarioCar"/>
    <w:uiPriority w:val="99"/>
    <w:semiHidden/>
    <w:unhideWhenUsed/>
    <w:rsid w:val="00B70F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0F2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70F27"/>
    <w:rPr>
      <w:b/>
      <w:bCs/>
    </w:rPr>
  </w:style>
  <w:style w:type="character" w:customStyle="1" w:styleId="AsuntodelcomentarioCar">
    <w:name w:val="Asunto del comentario Car"/>
    <w:basedOn w:val="TextocomentarioCar"/>
    <w:link w:val="Asuntodelcomentario"/>
    <w:uiPriority w:val="99"/>
    <w:semiHidden/>
    <w:rsid w:val="00B70F2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E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0FE8"/>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customStyle="1" w:styleId="Estilo">
    <w:name w:val="Estilo"/>
    <w:rsid w:val="00660FE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660FE8"/>
  </w:style>
  <w:style w:type="paragraph" w:styleId="Sinespaciado">
    <w:name w:val="No Spacing"/>
    <w:link w:val="SinespaciadoCar"/>
    <w:uiPriority w:val="1"/>
    <w:qFormat/>
    <w:rsid w:val="00660FE8"/>
    <w:pPr>
      <w:spacing w:after="0" w:line="240" w:lineRule="auto"/>
    </w:p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660FE8"/>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660FE8"/>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uiPriority w:val="99"/>
    <w:unhideWhenUsed/>
    <w:qFormat/>
    <w:rsid w:val="00660FE8"/>
    <w:rPr>
      <w:vertAlign w:val="superscript"/>
    </w:rPr>
  </w:style>
  <w:style w:type="character" w:styleId="Hipervnculo">
    <w:name w:val="Hyperlink"/>
    <w:basedOn w:val="Fuentedeprrafopredeter"/>
    <w:uiPriority w:val="99"/>
    <w:unhideWhenUsed/>
    <w:rsid w:val="004E2264"/>
    <w:rPr>
      <w:color w:val="0563C1" w:themeColor="hyperlink"/>
      <w:u w:val="single"/>
    </w:rPr>
  </w:style>
  <w:style w:type="paragraph" w:styleId="Textodeglobo">
    <w:name w:val="Balloon Text"/>
    <w:basedOn w:val="Normal"/>
    <w:link w:val="TextodegloboCar"/>
    <w:uiPriority w:val="99"/>
    <w:semiHidden/>
    <w:unhideWhenUsed/>
    <w:rsid w:val="00E209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98D"/>
    <w:rPr>
      <w:rFonts w:ascii="Segoe UI" w:eastAsia="Calibri" w:hAnsi="Segoe UI" w:cs="Segoe UI"/>
      <w:sz w:val="18"/>
      <w:szCs w:val="18"/>
    </w:rPr>
  </w:style>
  <w:style w:type="table" w:styleId="Tablaconcuadrcula">
    <w:name w:val="Table Grid"/>
    <w:basedOn w:val="Tablanormal"/>
    <w:uiPriority w:val="59"/>
    <w:rsid w:val="0061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16C0A"/>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616C0A"/>
    <w:pPr>
      <w:spacing w:after="0" w:line="240" w:lineRule="auto"/>
      <w:ind w:left="720"/>
      <w:contextualSpacing/>
    </w:pPr>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B70F27"/>
    <w:rPr>
      <w:sz w:val="16"/>
      <w:szCs w:val="16"/>
    </w:rPr>
  </w:style>
  <w:style w:type="paragraph" w:styleId="Textocomentario">
    <w:name w:val="annotation text"/>
    <w:basedOn w:val="Normal"/>
    <w:link w:val="TextocomentarioCar"/>
    <w:uiPriority w:val="99"/>
    <w:semiHidden/>
    <w:unhideWhenUsed/>
    <w:rsid w:val="00B70F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0F2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70F27"/>
    <w:rPr>
      <w:b/>
      <w:bCs/>
    </w:rPr>
  </w:style>
  <w:style w:type="character" w:customStyle="1" w:styleId="AsuntodelcomentarioCar">
    <w:name w:val="Asunto del comentario Car"/>
    <w:basedOn w:val="TextocomentarioCar"/>
    <w:link w:val="Asuntodelcomentario"/>
    <w:uiPriority w:val="99"/>
    <w:semiHidden/>
    <w:rsid w:val="00B70F2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25645">
      <w:bodyDiv w:val="1"/>
      <w:marLeft w:val="0"/>
      <w:marRight w:val="0"/>
      <w:marTop w:val="0"/>
      <w:marBottom w:val="0"/>
      <w:divBdr>
        <w:top w:val="none" w:sz="0" w:space="0" w:color="auto"/>
        <w:left w:val="none" w:sz="0" w:space="0" w:color="auto"/>
        <w:bottom w:val="none" w:sz="0" w:space="0" w:color="auto"/>
        <w:right w:val="none" w:sz="0" w:space="0" w:color="auto"/>
      </w:divBdr>
    </w:div>
    <w:div w:id="628366878">
      <w:bodyDiv w:val="1"/>
      <w:marLeft w:val="0"/>
      <w:marRight w:val="0"/>
      <w:marTop w:val="0"/>
      <w:marBottom w:val="0"/>
      <w:divBdr>
        <w:top w:val="none" w:sz="0" w:space="0" w:color="auto"/>
        <w:left w:val="none" w:sz="0" w:space="0" w:color="auto"/>
        <w:bottom w:val="none" w:sz="0" w:space="0" w:color="auto"/>
        <w:right w:val="none" w:sz="0" w:space="0" w:color="auto"/>
      </w:divBdr>
    </w:div>
    <w:div w:id="679359681">
      <w:bodyDiv w:val="1"/>
      <w:marLeft w:val="0"/>
      <w:marRight w:val="0"/>
      <w:marTop w:val="0"/>
      <w:marBottom w:val="0"/>
      <w:divBdr>
        <w:top w:val="none" w:sz="0" w:space="0" w:color="auto"/>
        <w:left w:val="none" w:sz="0" w:space="0" w:color="auto"/>
        <w:bottom w:val="none" w:sz="0" w:space="0" w:color="auto"/>
        <w:right w:val="none" w:sz="0" w:space="0" w:color="auto"/>
      </w:divBdr>
    </w:div>
    <w:div w:id="887103772">
      <w:bodyDiv w:val="1"/>
      <w:marLeft w:val="0"/>
      <w:marRight w:val="0"/>
      <w:marTop w:val="0"/>
      <w:marBottom w:val="0"/>
      <w:divBdr>
        <w:top w:val="none" w:sz="0" w:space="0" w:color="auto"/>
        <w:left w:val="none" w:sz="0" w:space="0" w:color="auto"/>
        <w:bottom w:val="none" w:sz="0" w:space="0" w:color="auto"/>
        <w:right w:val="none" w:sz="0" w:space="0" w:color="auto"/>
      </w:divBdr>
    </w:div>
    <w:div w:id="14422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023456789/93968/CGex201612-14-ap-16.pdf?sequence=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B9B80-8112-4D60-94E5-46FD3DCD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5</Pages>
  <Words>1301</Words>
  <Characters>7161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DEAJ</dc:creator>
  <cp:lastModifiedBy>DEAJ</cp:lastModifiedBy>
  <cp:revision>22</cp:revision>
  <cp:lastPrinted>2020-11-13T23:17:00Z</cp:lastPrinted>
  <dcterms:created xsi:type="dcterms:W3CDTF">2020-10-30T19:15:00Z</dcterms:created>
  <dcterms:modified xsi:type="dcterms:W3CDTF">2020-11-14T07:28:00Z</dcterms:modified>
</cp:coreProperties>
</file>