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EF" w:rsidRDefault="000D65EF" w:rsidP="000D65EF">
      <w:pPr>
        <w:spacing w:line="240" w:lineRule="auto"/>
        <w:ind w:left="3540" w:firstLine="708"/>
        <w:jc w:val="both"/>
        <w:rPr>
          <w:rFonts w:ascii="Gothic720 BT" w:hAnsi="Gothic720 BT"/>
        </w:rPr>
      </w:pPr>
      <w:bookmarkStart w:id="0" w:name="_GoBack"/>
      <w:bookmarkEnd w:id="0"/>
      <w:r>
        <w:rPr>
          <w:rFonts w:ascii="Gothic720 BT" w:hAnsi="Gothic720 BT"/>
          <w:b/>
        </w:rPr>
        <w:t xml:space="preserve">EXPEDIENTE: </w:t>
      </w:r>
      <w:r>
        <w:rPr>
          <w:rFonts w:ascii="Gothic720 BT" w:hAnsi="Gothic720 BT"/>
        </w:rPr>
        <w:t>IEEQ/AG/006/2016-P.</w:t>
      </w:r>
    </w:p>
    <w:p w:rsidR="000D65EF" w:rsidRDefault="000D65EF" w:rsidP="000D65EF">
      <w:pPr>
        <w:spacing w:line="240" w:lineRule="auto"/>
        <w:ind w:left="4253"/>
        <w:jc w:val="both"/>
        <w:rPr>
          <w:rFonts w:ascii="Gothic720 BT" w:hAnsi="Gothic720 BT" w:cs="Arial"/>
          <w:b/>
          <w:lang w:eastAsia="es-MX"/>
        </w:rPr>
      </w:pPr>
      <w:r>
        <w:rPr>
          <w:rFonts w:ascii="Gothic720 BT" w:hAnsi="Gothic720 BT"/>
          <w:b/>
        </w:rPr>
        <w:t xml:space="preserve">PROMOVENTE: </w:t>
      </w:r>
      <w:r>
        <w:rPr>
          <w:rFonts w:ascii="Gothic720 BT" w:hAnsi="Gothic720 BT"/>
        </w:rPr>
        <w:t>QUERÉTARO INDEPENDIENTE.</w:t>
      </w:r>
      <w:r>
        <w:rPr>
          <w:rFonts w:ascii="Gothic720 BT" w:hAnsi="Gothic720 BT" w:cs="Arial"/>
          <w:b/>
          <w:lang w:eastAsia="es-MX"/>
        </w:rPr>
        <w:t xml:space="preserve">   </w:t>
      </w:r>
    </w:p>
    <w:p w:rsidR="000D65EF" w:rsidRPr="009806A0" w:rsidRDefault="000D65EF" w:rsidP="000D65EF">
      <w:pPr>
        <w:spacing w:line="240" w:lineRule="auto"/>
        <w:ind w:left="4253"/>
        <w:jc w:val="both"/>
        <w:rPr>
          <w:rFonts w:ascii="Gothic720 BT" w:hAnsi="Gothic720 BT" w:cs="Arial"/>
          <w:b/>
          <w:lang w:eastAsia="es-MX"/>
        </w:rPr>
      </w:pPr>
      <w:r>
        <w:rPr>
          <w:rFonts w:ascii="Gothic720 BT" w:hAnsi="Gothic720 BT"/>
          <w:b/>
        </w:rPr>
        <w:t>A</w:t>
      </w:r>
      <w:r w:rsidRPr="00163281">
        <w:rPr>
          <w:rFonts w:ascii="Gothic720 BT" w:hAnsi="Gothic720 BT" w:cs="Arial"/>
          <w:b/>
          <w:lang w:eastAsia="es-MX"/>
        </w:rPr>
        <w:t>SUNTO:</w:t>
      </w:r>
      <w:r>
        <w:rPr>
          <w:rFonts w:ascii="Gothic720 BT" w:hAnsi="Gothic720 BT" w:cs="Arial"/>
          <w:lang w:eastAsia="es-MX"/>
        </w:rPr>
        <w:t xml:space="preserve"> AGREGAR Y CUMPLIMIENTO A REQUERIMIENTO.</w:t>
      </w:r>
    </w:p>
    <w:p w:rsidR="000D65EF" w:rsidRPr="0059088B" w:rsidRDefault="000D65EF" w:rsidP="000D65EF">
      <w:pPr>
        <w:spacing w:before="240" w:line="240" w:lineRule="auto"/>
        <w:jc w:val="both"/>
        <w:rPr>
          <w:rFonts w:ascii="Gothic720 BT" w:hAnsi="Gothic720 BT"/>
        </w:rPr>
      </w:pPr>
      <w:r w:rsidRPr="00827B3A">
        <w:rPr>
          <w:rFonts w:ascii="Gothic720 BT" w:hAnsi="Gothic720 BT"/>
        </w:rPr>
        <w:t xml:space="preserve">Santiago de Querétaro, Querétaro; </w:t>
      </w:r>
      <w:r>
        <w:rPr>
          <w:rFonts w:ascii="Gothic720 BT" w:hAnsi="Gothic720 BT"/>
        </w:rPr>
        <w:t>diez de diciembre de dos mil veinte.</w:t>
      </w:r>
    </w:p>
    <w:p w:rsidR="000D65EF" w:rsidRPr="0007074F" w:rsidRDefault="000D65EF" w:rsidP="000D65EF">
      <w:pPr>
        <w:spacing w:after="0"/>
        <w:jc w:val="both"/>
        <w:rPr>
          <w:rFonts w:ascii="Gothic720 BT" w:hAnsi="Gothic720 BT"/>
        </w:rPr>
      </w:pPr>
      <w:r w:rsidRPr="005F6A9D">
        <w:rPr>
          <w:rFonts w:ascii="Gothic720 BT" w:hAnsi="Gothic720 BT"/>
          <w:b/>
        </w:rPr>
        <w:t>VISTO</w:t>
      </w:r>
      <w:r>
        <w:rPr>
          <w:rFonts w:ascii="Gothic720 BT" w:hAnsi="Gothic720 BT"/>
          <w:b/>
        </w:rPr>
        <w:t xml:space="preserve"> </w:t>
      </w:r>
      <w:r>
        <w:rPr>
          <w:rFonts w:ascii="Gothic720 BT" w:hAnsi="Gothic720 BT"/>
        </w:rPr>
        <w:t xml:space="preserve">el escrito recibido en la Oficialía de Partes de este Instituto el siete de diciembre de dos mil veinte, registrado con el folio 1428, signado por Ma. Concepción Herrera Martínez, representante propietaria del partido político local Querétaro Independiente ante el Consejo General, a través del cual, en atención al proveído emitido el dos de diciembre del año en curso, informó fechas vinculadas con el procedimiento de selección de candidaturas del partido político que representa; así como las constancias que integran el expediente indicado al rubro; con fundamento en lo dispuesto por el artículo 63, fracciones I y XXXI de la Ley Electoral del Estado de Querétaro, el Encargado de despacho de la Secretaría Ejecutiva </w:t>
      </w:r>
      <w:r w:rsidRPr="00AD61F8">
        <w:rPr>
          <w:rFonts w:ascii="Gothic720 BT" w:hAnsi="Gothic720 BT"/>
          <w:b/>
        </w:rPr>
        <w:t>ACUERDA:</w:t>
      </w:r>
    </w:p>
    <w:p w:rsidR="000D65EF" w:rsidRDefault="000D65EF" w:rsidP="000D65EF">
      <w:pPr>
        <w:spacing w:after="0"/>
        <w:jc w:val="both"/>
        <w:rPr>
          <w:rFonts w:ascii="Gothic720 BT" w:hAnsi="Gothic720 BT"/>
          <w:b/>
        </w:rPr>
      </w:pPr>
    </w:p>
    <w:p w:rsidR="000D65EF" w:rsidRPr="00585901" w:rsidRDefault="000D65EF" w:rsidP="000D65EF">
      <w:pPr>
        <w:spacing w:after="0"/>
        <w:jc w:val="both"/>
        <w:rPr>
          <w:rFonts w:ascii="Gothic720 BT" w:hAnsi="Gothic720 BT"/>
        </w:rPr>
      </w:pPr>
      <w:r>
        <w:rPr>
          <w:rFonts w:ascii="Gothic720 BT" w:hAnsi="Gothic720 BT"/>
          <w:b/>
        </w:rPr>
        <w:t xml:space="preserve">PRIMERO. Agregar. </w:t>
      </w:r>
      <w:r>
        <w:rPr>
          <w:rFonts w:ascii="Gothic720 BT" w:hAnsi="Gothic720 BT"/>
        </w:rPr>
        <w:t>Se tiene por recibido el documento de cuenta, el cual consta en un total de una foja útil con texto por un solo lado,</w:t>
      </w:r>
      <w:r>
        <w:rPr>
          <w:rStyle w:val="Refdenotaalpie"/>
          <w:rFonts w:ascii="Gothic720 BT" w:hAnsi="Gothic720 BT"/>
        </w:rPr>
        <w:footnoteReference w:id="1"/>
      </w:r>
      <w:r>
        <w:rPr>
          <w:rFonts w:ascii="Gothic720 BT" w:hAnsi="Gothic720 BT"/>
        </w:rPr>
        <w:t xml:space="preserve"> mismo que se agrega al expediente de cuenta, </w:t>
      </w:r>
      <w:r w:rsidRPr="00585901">
        <w:rPr>
          <w:rFonts w:ascii="Gothic720 BT" w:hAnsi="Gothic720 BT"/>
        </w:rPr>
        <w:t xml:space="preserve">para los efectos que corresponda. </w:t>
      </w:r>
    </w:p>
    <w:p w:rsidR="000D65EF" w:rsidRDefault="000D65EF" w:rsidP="000D65EF">
      <w:pPr>
        <w:spacing w:after="0"/>
        <w:jc w:val="both"/>
        <w:rPr>
          <w:rFonts w:ascii="Gothic720 BT" w:hAnsi="Gothic720 BT"/>
        </w:rPr>
      </w:pPr>
      <w:r>
        <w:rPr>
          <w:rFonts w:ascii="Gothic720 BT" w:hAnsi="Gothic720 BT"/>
        </w:rPr>
        <w:t xml:space="preserve">  </w:t>
      </w:r>
    </w:p>
    <w:p w:rsidR="000D65EF" w:rsidRDefault="000D65EF" w:rsidP="000D65EF">
      <w:pPr>
        <w:spacing w:after="0"/>
        <w:jc w:val="both"/>
        <w:rPr>
          <w:rFonts w:ascii="Gothic720 BT" w:hAnsi="Gothic720 BT"/>
          <w:b/>
        </w:rPr>
      </w:pPr>
      <w:r>
        <w:rPr>
          <w:rFonts w:ascii="Gothic720 BT" w:hAnsi="Gothic720 BT"/>
          <w:b/>
        </w:rPr>
        <w:t>SEGUNDO</w:t>
      </w:r>
      <w:r w:rsidRPr="006859E7">
        <w:rPr>
          <w:rFonts w:ascii="Gothic720 BT" w:hAnsi="Gothic720 BT"/>
          <w:b/>
        </w:rPr>
        <w:t xml:space="preserve">. </w:t>
      </w:r>
      <w:r>
        <w:rPr>
          <w:rFonts w:ascii="Gothic720 BT" w:hAnsi="Gothic720 BT"/>
          <w:b/>
        </w:rPr>
        <w:t>Cumplimiento a requerimiento</w:t>
      </w:r>
      <w:r w:rsidRPr="006859E7">
        <w:rPr>
          <w:rFonts w:ascii="Gothic720 BT" w:hAnsi="Gothic720 BT"/>
          <w:b/>
        </w:rPr>
        <w:t>.</w:t>
      </w:r>
      <w:r>
        <w:rPr>
          <w:rFonts w:ascii="Gothic720 BT" w:hAnsi="Gothic720 BT"/>
          <w:b/>
        </w:rPr>
        <w:t xml:space="preserve"> </w:t>
      </w:r>
    </w:p>
    <w:p w:rsidR="000D65EF" w:rsidRDefault="000D65EF" w:rsidP="000D65EF">
      <w:pPr>
        <w:tabs>
          <w:tab w:val="left" w:pos="993"/>
        </w:tabs>
        <w:spacing w:after="0"/>
        <w:jc w:val="both"/>
        <w:rPr>
          <w:rFonts w:ascii="Gothic720 BT" w:hAnsi="Gothic720 BT"/>
        </w:rPr>
      </w:pPr>
    </w:p>
    <w:p w:rsidR="000D65EF" w:rsidRDefault="000D65EF" w:rsidP="000D65EF">
      <w:pPr>
        <w:tabs>
          <w:tab w:val="left" w:pos="993"/>
        </w:tabs>
        <w:jc w:val="both"/>
        <w:rPr>
          <w:rFonts w:ascii="Gothic720 BT" w:hAnsi="Gothic720 BT"/>
        </w:rPr>
      </w:pPr>
      <w:r>
        <w:rPr>
          <w:rFonts w:ascii="Gothic720 BT" w:hAnsi="Gothic720 BT"/>
        </w:rPr>
        <w:t>1. E</w:t>
      </w:r>
      <w:r w:rsidRPr="00A4152A">
        <w:rPr>
          <w:rFonts w:ascii="Gothic720 BT" w:hAnsi="Gothic720 BT"/>
        </w:rPr>
        <w:t xml:space="preserve">l artículo 97, párrafo segundo de la Ley Electoral </w:t>
      </w:r>
      <w:r>
        <w:rPr>
          <w:rFonts w:ascii="Gothic720 BT" w:hAnsi="Gothic720 BT"/>
        </w:rPr>
        <w:t xml:space="preserve">del Estado de Querétaro </w:t>
      </w:r>
      <w:r w:rsidRPr="00A4152A">
        <w:rPr>
          <w:rFonts w:ascii="Gothic720 BT" w:hAnsi="Gothic720 BT"/>
        </w:rPr>
        <w:t>señala que a partir del inicio del proceso electoral y hasta el treinta de noviembre del año previo a la elección, cada partido debe determinar, conforme a sus Estatutos, el procedimiento aplicable para la selección de sus candidaturas a cargos de elección popular, según la elección de que se trate.</w:t>
      </w:r>
      <w:r w:rsidRPr="00A4152A">
        <w:rPr>
          <w:rStyle w:val="Refdenotaalpie"/>
          <w:rFonts w:ascii="Gothic720 BT" w:hAnsi="Gothic720 BT"/>
        </w:rPr>
        <w:footnoteReference w:id="2"/>
      </w:r>
    </w:p>
    <w:p w:rsidR="000D65EF" w:rsidRPr="00A4152A" w:rsidRDefault="000D65EF" w:rsidP="000D65EF">
      <w:pPr>
        <w:tabs>
          <w:tab w:val="left" w:pos="993"/>
        </w:tabs>
        <w:jc w:val="both"/>
        <w:rPr>
          <w:rFonts w:ascii="Gothic720 BT" w:hAnsi="Gothic720 BT"/>
        </w:rPr>
      </w:pPr>
      <w:r>
        <w:rPr>
          <w:rFonts w:ascii="Gothic720 BT" w:hAnsi="Gothic720 BT"/>
        </w:rPr>
        <w:t xml:space="preserve">2. </w:t>
      </w:r>
      <w:r w:rsidRPr="00A4152A">
        <w:rPr>
          <w:rFonts w:ascii="Gothic720 BT" w:hAnsi="Gothic720 BT"/>
        </w:rPr>
        <w:t xml:space="preserve">Además, el referido artículo 97 de la Ley Electoral señala que la determinación del proceso de selección adoptada por los partidos políticos debe ser comunicada al Consejo General de este Instituto dentro del periodo antes referido, para lo cual deben atender los requisitos señalados en dicho precepto. </w:t>
      </w:r>
    </w:p>
    <w:p w:rsidR="000D65EF" w:rsidRDefault="000D65EF" w:rsidP="000D65EF">
      <w:pPr>
        <w:spacing w:after="0"/>
        <w:jc w:val="both"/>
        <w:rPr>
          <w:rFonts w:ascii="Gothic720 BT" w:hAnsi="Gothic720 BT"/>
        </w:rPr>
      </w:pPr>
      <w:r>
        <w:rPr>
          <w:rFonts w:ascii="Gothic720 BT" w:hAnsi="Gothic720 BT"/>
        </w:rPr>
        <w:t xml:space="preserve">3. Ahora bien, de las constancias que integran el expediente de trámite se advierte que el dos de diciembre del año en curso, esta Secretaría Ejecutiva emitió un proveído en el que, entre otras determinaciones, requirió al partido Querétaro Independiente para que en el término de tres días naturales contados a partir de la notificación correspondiente informara a esta autoridad, las determinaciones que </w:t>
      </w:r>
      <w:r>
        <w:rPr>
          <w:rFonts w:ascii="Gothic720 BT" w:hAnsi="Gothic720 BT"/>
        </w:rPr>
        <w:lastRenderedPageBreak/>
        <w:t>conforme a sus estatutos internos se adoptaron con relación al método de selección interna de candidaturas a cargos de elección popular en el proceso electoral local 2020-2021</w:t>
      </w:r>
      <w:r w:rsidR="00E87C6D">
        <w:rPr>
          <w:rFonts w:ascii="Gothic720 BT" w:hAnsi="Gothic720 BT"/>
        </w:rPr>
        <w:t xml:space="preserve"> en atención a su escrito presentado el treinta de noviembre del año en curso</w:t>
      </w:r>
      <w:r>
        <w:rPr>
          <w:rFonts w:ascii="Gothic720 BT" w:hAnsi="Gothic720 BT"/>
        </w:rPr>
        <w:t xml:space="preserve">, a efecto de cumplimentar la información vinculada con los requisitos señalados en el artículo 97, fracciones I de la Ley Electoral del Estado de Querétaro.    </w:t>
      </w:r>
    </w:p>
    <w:p w:rsidR="000D65EF" w:rsidRDefault="000D65EF" w:rsidP="000D65EF">
      <w:pPr>
        <w:spacing w:after="0"/>
        <w:jc w:val="both"/>
        <w:rPr>
          <w:rFonts w:ascii="Gothic720 BT" w:hAnsi="Gothic720 BT"/>
        </w:rPr>
      </w:pPr>
    </w:p>
    <w:p w:rsidR="000D65EF" w:rsidRDefault="000D65EF" w:rsidP="000D65EF">
      <w:pPr>
        <w:spacing w:after="0"/>
        <w:jc w:val="both"/>
        <w:rPr>
          <w:rFonts w:ascii="Gothic720 BT" w:hAnsi="Gothic720 BT"/>
        </w:rPr>
      </w:pPr>
      <w:r>
        <w:rPr>
          <w:rFonts w:ascii="Gothic720 BT" w:hAnsi="Gothic720 BT"/>
        </w:rPr>
        <w:t xml:space="preserve">4. Dicha determinación se notificó a la representación del referido partido político el cuatro de diciembre del año en curso.            </w:t>
      </w:r>
    </w:p>
    <w:p w:rsidR="000D65EF" w:rsidRDefault="000D65EF" w:rsidP="000D65EF">
      <w:pPr>
        <w:spacing w:after="0"/>
        <w:jc w:val="both"/>
        <w:rPr>
          <w:rFonts w:ascii="Gothic720 BT" w:hAnsi="Gothic720 BT"/>
        </w:rPr>
      </w:pPr>
    </w:p>
    <w:p w:rsidR="000D65EF" w:rsidRDefault="000D65EF" w:rsidP="000D65EF">
      <w:pPr>
        <w:spacing w:after="0"/>
        <w:jc w:val="both"/>
        <w:rPr>
          <w:rFonts w:ascii="Gothic720 BT" w:hAnsi="Gothic720 BT"/>
        </w:rPr>
      </w:pPr>
      <w:r>
        <w:rPr>
          <w:rFonts w:ascii="Gothic720 BT" w:hAnsi="Gothic720 BT"/>
        </w:rPr>
        <w:t xml:space="preserve">5. En atención a lo anterior, el siete de diciembre de la presente anualidad, la promovente presentó el escrito de cuenta, en el cual señaló las fechas del inicio y conclusión del proceso interno. </w:t>
      </w:r>
    </w:p>
    <w:p w:rsidR="000D65EF" w:rsidRDefault="000D65EF" w:rsidP="000D65EF">
      <w:pPr>
        <w:spacing w:after="0"/>
        <w:jc w:val="both"/>
        <w:rPr>
          <w:rFonts w:ascii="Gothic720 BT" w:hAnsi="Gothic720 BT"/>
        </w:rPr>
      </w:pPr>
    </w:p>
    <w:p w:rsidR="000D65EF" w:rsidRDefault="000D65EF" w:rsidP="000D65EF">
      <w:pPr>
        <w:spacing w:after="0"/>
        <w:jc w:val="both"/>
        <w:rPr>
          <w:rFonts w:ascii="Gothic720 BT" w:hAnsi="Gothic720 BT"/>
        </w:rPr>
      </w:pPr>
      <w:r>
        <w:rPr>
          <w:rFonts w:ascii="Gothic720 BT" w:hAnsi="Gothic720 BT"/>
        </w:rPr>
        <w:t xml:space="preserve">6. </w:t>
      </w:r>
      <w:r w:rsidRPr="00A4152A">
        <w:rPr>
          <w:rFonts w:ascii="Gothic720 BT" w:hAnsi="Gothic720 BT"/>
        </w:rPr>
        <w:t xml:space="preserve">En ese sentido, </w:t>
      </w:r>
      <w:r>
        <w:rPr>
          <w:rFonts w:ascii="Gothic720 BT" w:hAnsi="Gothic720 BT"/>
        </w:rPr>
        <w:t>se tiene al</w:t>
      </w:r>
      <w:r w:rsidRPr="00A4152A">
        <w:rPr>
          <w:rFonts w:ascii="Gothic720 BT" w:hAnsi="Gothic720 BT"/>
        </w:rPr>
        <w:t xml:space="preserve"> partido </w:t>
      </w:r>
      <w:r>
        <w:rPr>
          <w:rFonts w:ascii="Gothic720 BT" w:hAnsi="Gothic720 BT"/>
        </w:rPr>
        <w:t xml:space="preserve">político Querétaro Independiente informando </w:t>
      </w:r>
      <w:r w:rsidRPr="00A4152A">
        <w:rPr>
          <w:rFonts w:ascii="Gothic720 BT" w:hAnsi="Gothic720 BT"/>
        </w:rPr>
        <w:t>en tiempo su p</w:t>
      </w:r>
      <w:r>
        <w:rPr>
          <w:rFonts w:ascii="Gothic720 BT" w:hAnsi="Gothic720 BT"/>
        </w:rPr>
        <w:t xml:space="preserve">roceso interno, pues el escrito correspondiente </w:t>
      </w:r>
      <w:r w:rsidRPr="00A4152A">
        <w:rPr>
          <w:rFonts w:ascii="Gothic720 BT" w:hAnsi="Gothic720 BT"/>
        </w:rPr>
        <w:t xml:space="preserve">se </w:t>
      </w:r>
      <w:r>
        <w:rPr>
          <w:rFonts w:ascii="Gothic720 BT" w:hAnsi="Gothic720 BT"/>
        </w:rPr>
        <w:t xml:space="preserve">recibió ante este organismo público el treinta </w:t>
      </w:r>
      <w:r w:rsidRPr="00A4152A">
        <w:rPr>
          <w:rFonts w:ascii="Gothic720 BT" w:hAnsi="Gothic720 BT"/>
        </w:rPr>
        <w:t xml:space="preserve">de noviembre del </w:t>
      </w:r>
      <w:r>
        <w:rPr>
          <w:rFonts w:ascii="Gothic720 BT" w:hAnsi="Gothic720 BT"/>
        </w:rPr>
        <w:t>año en curso; aunado a que el escrito de cuenta, se presentó dentro del plazo concedido para tal efecto en el proveído de requerimiento,</w:t>
      </w:r>
      <w:r w:rsidRPr="00A4152A">
        <w:rPr>
          <w:rFonts w:ascii="Gothic720 BT" w:hAnsi="Gothic720 BT"/>
        </w:rPr>
        <w:t xml:space="preserve"> como se advierte de</w:t>
      </w:r>
      <w:r>
        <w:rPr>
          <w:rFonts w:ascii="Gothic720 BT" w:hAnsi="Gothic720 BT"/>
        </w:rPr>
        <w:t xml:space="preserve"> </w:t>
      </w:r>
      <w:r w:rsidRPr="00A4152A">
        <w:rPr>
          <w:rFonts w:ascii="Gothic720 BT" w:hAnsi="Gothic720 BT"/>
        </w:rPr>
        <w:t>l</w:t>
      </w:r>
      <w:r>
        <w:rPr>
          <w:rFonts w:ascii="Gothic720 BT" w:hAnsi="Gothic720 BT"/>
        </w:rPr>
        <w:t>as</w:t>
      </w:r>
      <w:r w:rsidRPr="00A4152A">
        <w:rPr>
          <w:rFonts w:ascii="Gothic720 BT" w:hAnsi="Gothic720 BT"/>
        </w:rPr>
        <w:t xml:space="preserve"> </w:t>
      </w:r>
      <w:r>
        <w:rPr>
          <w:rFonts w:ascii="Gothic720 BT" w:hAnsi="Gothic720 BT"/>
        </w:rPr>
        <w:t>constancias que integran el expediente en que se actúa</w:t>
      </w:r>
      <w:r w:rsidRPr="00A4152A">
        <w:rPr>
          <w:rFonts w:ascii="Gothic720 BT" w:hAnsi="Gothic720 BT"/>
        </w:rPr>
        <w:t>.</w:t>
      </w:r>
      <w:r w:rsidR="00D7439B">
        <w:rPr>
          <w:rStyle w:val="Refdenotaalpie"/>
          <w:rFonts w:ascii="Gothic720 BT" w:hAnsi="Gothic720 BT"/>
        </w:rPr>
        <w:footnoteReference w:id="3"/>
      </w:r>
      <w:r w:rsidRPr="00A4152A">
        <w:rPr>
          <w:rFonts w:ascii="Gothic720 BT" w:hAnsi="Gothic720 BT"/>
        </w:rPr>
        <w:t xml:space="preserve"> </w:t>
      </w:r>
    </w:p>
    <w:p w:rsidR="000D65EF" w:rsidRPr="00A4152A" w:rsidRDefault="000D65EF" w:rsidP="000D65EF">
      <w:pPr>
        <w:spacing w:after="0"/>
        <w:jc w:val="both"/>
        <w:rPr>
          <w:rFonts w:ascii="Gothic720 BT" w:hAnsi="Gothic720 BT"/>
        </w:rPr>
      </w:pPr>
    </w:p>
    <w:p w:rsidR="000D65EF" w:rsidRDefault="000D65EF" w:rsidP="000D65EF">
      <w:pPr>
        <w:tabs>
          <w:tab w:val="left" w:pos="993"/>
        </w:tabs>
        <w:jc w:val="both"/>
        <w:rPr>
          <w:rFonts w:ascii="Gothic720 BT" w:hAnsi="Gothic720 BT"/>
        </w:rPr>
      </w:pPr>
      <w:r>
        <w:rPr>
          <w:rFonts w:ascii="Gothic720 BT" w:hAnsi="Gothic720 BT"/>
        </w:rPr>
        <w:t>7. En consecuencia</w:t>
      </w:r>
      <w:r w:rsidRPr="00A4152A">
        <w:rPr>
          <w:rFonts w:ascii="Gothic720 BT" w:hAnsi="Gothic720 BT"/>
        </w:rPr>
        <w:t>,</w:t>
      </w:r>
      <w:r>
        <w:rPr>
          <w:rFonts w:ascii="Gothic720 BT" w:hAnsi="Gothic720 BT"/>
        </w:rPr>
        <w:t xml:space="preserve"> toda vez que de los documentos de cuenta se advierte que </w:t>
      </w:r>
      <w:r w:rsidRPr="00A4152A">
        <w:rPr>
          <w:rFonts w:ascii="Gothic720 BT" w:hAnsi="Gothic720 BT"/>
        </w:rPr>
        <w:t xml:space="preserve">el </w:t>
      </w:r>
      <w:r>
        <w:rPr>
          <w:rFonts w:ascii="Gothic720 BT" w:hAnsi="Gothic720 BT"/>
        </w:rPr>
        <w:t xml:space="preserve">partido político promovente </w:t>
      </w:r>
      <w:r w:rsidRPr="00A4152A">
        <w:rPr>
          <w:rFonts w:ascii="Gothic720 BT" w:hAnsi="Gothic720 BT"/>
        </w:rPr>
        <w:t xml:space="preserve">refirió diversas fechas vinculadas con el inicio del proceso interno; método o métodos que serán utilizados; la fecha para la expedición de la convocatoria correspondiente; los plazos que comprende cada fase de su proceso interno; los órganos de dirección responsables de su conducción y vigilancia; y la fecha en que se emitirán las determinaciones internas de dicho partido; por lo que en términos de los artículos 41, Base I, párrafo tercero de la Constitución Política de los Estados Unidos Mexicanos, 34, párrafo 1 y 2, inciso d) de la Ley General de Partidos Políticos, con relación al artículo 97, fracciones I a VI de la Ley Electoral, se tiene por informado el procedimiento interno del Partido </w:t>
      </w:r>
      <w:r>
        <w:rPr>
          <w:rFonts w:ascii="Gothic720 BT" w:hAnsi="Gothic720 BT"/>
        </w:rPr>
        <w:t>Querétaro Independiente en el Estado</w:t>
      </w:r>
      <w:r w:rsidRPr="00A4152A">
        <w:rPr>
          <w:rFonts w:ascii="Gothic720 BT" w:hAnsi="Gothic720 BT"/>
        </w:rPr>
        <w:t xml:space="preserve">, para los efectos que correspondan. </w:t>
      </w:r>
    </w:p>
    <w:p w:rsidR="000D65EF" w:rsidRPr="00694085" w:rsidRDefault="000D65EF" w:rsidP="000D65EF">
      <w:pPr>
        <w:spacing w:after="0" w:line="240" w:lineRule="auto"/>
        <w:jc w:val="both"/>
        <w:rPr>
          <w:rFonts w:ascii="Gothic720 BT" w:hAnsi="Gothic720 BT"/>
          <w:b/>
        </w:rPr>
      </w:pPr>
      <w:r w:rsidRPr="00694085">
        <w:rPr>
          <w:rFonts w:ascii="Gothic720 BT" w:hAnsi="Gothic720 BT"/>
          <w:b/>
        </w:rPr>
        <w:t>Notifíquese mediante estrados del Consejo del Instituto Electoral del Estado de Querétaro, en términos de los artículos 50, fracción</w:t>
      </w:r>
      <w:r>
        <w:rPr>
          <w:rFonts w:ascii="Gothic720 BT" w:hAnsi="Gothic720 BT"/>
          <w:b/>
        </w:rPr>
        <w:t xml:space="preserve"> II, 52 y 56, fracción</w:t>
      </w:r>
      <w:r w:rsidRPr="00694085">
        <w:rPr>
          <w:rFonts w:ascii="Gothic720 BT" w:hAnsi="Gothic720 BT"/>
          <w:b/>
        </w:rPr>
        <w:t xml:space="preserve"> II de la Ley de Medios de Impugnación en Materia Electoral del Estado de Querétaro.</w:t>
      </w:r>
    </w:p>
    <w:p w:rsidR="000D65EF" w:rsidRDefault="000D65EF" w:rsidP="000D65EF">
      <w:pPr>
        <w:spacing w:after="0"/>
        <w:jc w:val="both"/>
        <w:rPr>
          <w:rFonts w:ascii="Gothic720 BT" w:hAnsi="Gothic720 BT"/>
        </w:rPr>
      </w:pPr>
    </w:p>
    <w:p w:rsidR="000D65EF" w:rsidRPr="001B42CC" w:rsidRDefault="000D65EF" w:rsidP="000D65EF">
      <w:pPr>
        <w:spacing w:after="0"/>
        <w:jc w:val="both"/>
        <w:rPr>
          <w:rFonts w:ascii="Gothic720 BT" w:hAnsi="Gothic720 BT"/>
          <w:b/>
        </w:rPr>
      </w:pPr>
      <w:r>
        <w:rPr>
          <w:rFonts w:ascii="Gothic720 BT" w:hAnsi="Gothic720 BT"/>
        </w:rPr>
        <w:t xml:space="preserve">Así lo proveyó y firmó el Encargado de Despacho de la Secretaría Ejecutiva del Instituto Electoral de Querétaro, quien autoriza. </w:t>
      </w:r>
      <w:r w:rsidRPr="001B42CC">
        <w:rPr>
          <w:rFonts w:ascii="Gothic720 BT" w:hAnsi="Gothic720 BT"/>
          <w:b/>
        </w:rPr>
        <w:t>Doy fe.</w:t>
      </w:r>
    </w:p>
    <w:tbl>
      <w:tblPr>
        <w:tblW w:w="5510" w:type="dxa"/>
        <w:tblInd w:w="1809" w:type="dxa"/>
        <w:tblLook w:val="04A0" w:firstRow="1" w:lastRow="0" w:firstColumn="1" w:lastColumn="0" w:noHBand="0" w:noVBand="1"/>
      </w:tblPr>
      <w:tblGrid>
        <w:gridCol w:w="5510"/>
      </w:tblGrid>
      <w:tr w:rsidR="000D65EF" w:rsidRPr="007A47E1" w:rsidTr="00CC27C2">
        <w:trPr>
          <w:trHeight w:val="1567"/>
        </w:trPr>
        <w:tc>
          <w:tcPr>
            <w:tcW w:w="5510" w:type="dxa"/>
            <w:shd w:val="clear" w:color="auto" w:fill="auto"/>
          </w:tcPr>
          <w:p w:rsidR="000D65EF" w:rsidRDefault="000D65EF" w:rsidP="00CC27C2">
            <w:pPr>
              <w:spacing w:after="0"/>
              <w:rPr>
                <w:rFonts w:ascii="Gothic720 BT" w:hAnsi="Gothic720 BT"/>
                <w:b/>
              </w:rPr>
            </w:pPr>
          </w:p>
          <w:p w:rsidR="000D65EF" w:rsidRDefault="000D65EF" w:rsidP="00CC27C2">
            <w:pPr>
              <w:spacing w:after="0"/>
              <w:rPr>
                <w:rFonts w:ascii="Gothic720 BT" w:hAnsi="Gothic720 BT"/>
                <w:b/>
              </w:rPr>
            </w:pPr>
          </w:p>
          <w:p w:rsidR="000D65EF" w:rsidRDefault="000D65EF" w:rsidP="00CC27C2">
            <w:pPr>
              <w:spacing w:after="0"/>
              <w:rPr>
                <w:rFonts w:ascii="Gothic720 BT" w:hAnsi="Gothic720 BT"/>
                <w:b/>
              </w:rPr>
            </w:pPr>
          </w:p>
          <w:p w:rsidR="000D65EF" w:rsidRDefault="000D65EF" w:rsidP="00CC27C2">
            <w:pPr>
              <w:spacing w:after="0"/>
              <w:jc w:val="center"/>
              <w:rPr>
                <w:rFonts w:ascii="Gothic720 BT" w:hAnsi="Gothic720 BT"/>
                <w:b/>
              </w:rPr>
            </w:pPr>
            <w:r>
              <w:rPr>
                <w:rFonts w:ascii="Gothic720 BT" w:hAnsi="Gothic720 BT"/>
                <w:b/>
              </w:rPr>
              <w:t>Mtro. Carlos Alejandro Pérez Espíndola</w:t>
            </w:r>
          </w:p>
          <w:p w:rsidR="000D65EF" w:rsidRPr="00CA7981" w:rsidRDefault="000D65EF" w:rsidP="00CC27C2">
            <w:pPr>
              <w:spacing w:after="0"/>
              <w:jc w:val="center"/>
              <w:rPr>
                <w:rFonts w:ascii="Gothic720 BT" w:hAnsi="Gothic720 BT"/>
              </w:rPr>
            </w:pPr>
            <w:r>
              <w:rPr>
                <w:rFonts w:ascii="Gothic720 BT" w:hAnsi="Gothic720 BT"/>
              </w:rPr>
              <w:t>Encargado de Despacho de la Secretaría Ejecutiva</w:t>
            </w:r>
          </w:p>
        </w:tc>
      </w:tr>
    </w:tbl>
    <w:p w:rsidR="000D65EF" w:rsidRDefault="000D65EF" w:rsidP="000D65EF">
      <w:pPr>
        <w:spacing w:after="0"/>
        <w:rPr>
          <w:rFonts w:ascii="Gothic720 BT" w:hAnsi="Gothic720 BT"/>
          <w:sz w:val="16"/>
          <w:szCs w:val="16"/>
        </w:rPr>
      </w:pPr>
      <w:r w:rsidRPr="009B0500">
        <w:rPr>
          <w:rFonts w:ascii="Gothic720 BT" w:hAnsi="Gothic720 BT"/>
          <w:sz w:val="16"/>
          <w:szCs w:val="16"/>
        </w:rPr>
        <w:t xml:space="preserve"> </w:t>
      </w:r>
    </w:p>
    <w:p w:rsidR="000D65EF" w:rsidRDefault="000D65EF" w:rsidP="000D65EF">
      <w:pPr>
        <w:spacing w:after="0"/>
        <w:rPr>
          <w:rFonts w:ascii="Gothic720 BT" w:hAnsi="Gothic720 BT"/>
          <w:sz w:val="16"/>
          <w:szCs w:val="16"/>
        </w:rPr>
      </w:pPr>
    </w:p>
    <w:p w:rsidR="000D65EF" w:rsidRDefault="000D65EF" w:rsidP="000D65EF">
      <w:pPr>
        <w:spacing w:after="0"/>
        <w:rPr>
          <w:rFonts w:ascii="Gothic720 BT" w:hAnsi="Gothic720 BT"/>
          <w:sz w:val="16"/>
          <w:szCs w:val="16"/>
        </w:rPr>
      </w:pPr>
    </w:p>
    <w:p w:rsidR="000D65EF" w:rsidRDefault="000D65EF" w:rsidP="000D65EF">
      <w:pPr>
        <w:spacing w:line="240" w:lineRule="auto"/>
        <w:ind w:left="3540" w:firstLine="708"/>
        <w:jc w:val="both"/>
        <w:rPr>
          <w:rFonts w:ascii="Gothic720 BT" w:hAnsi="Gothic720 BT"/>
          <w:b/>
        </w:rPr>
      </w:pPr>
    </w:p>
    <w:p w:rsidR="000D65EF" w:rsidRDefault="000D65EF" w:rsidP="000D65EF">
      <w:pPr>
        <w:spacing w:line="240" w:lineRule="auto"/>
        <w:ind w:left="3540" w:firstLine="708"/>
        <w:jc w:val="both"/>
        <w:rPr>
          <w:rFonts w:ascii="Gothic720 BT" w:hAnsi="Gothic720 BT"/>
          <w:b/>
        </w:rPr>
      </w:pPr>
    </w:p>
    <w:p w:rsidR="000D65EF" w:rsidRDefault="000D65EF" w:rsidP="000D65EF">
      <w:pPr>
        <w:spacing w:line="240" w:lineRule="auto"/>
        <w:ind w:left="3540" w:firstLine="708"/>
        <w:jc w:val="both"/>
        <w:rPr>
          <w:rFonts w:ascii="Gothic720 BT" w:hAnsi="Gothic720 BT"/>
          <w:b/>
        </w:rPr>
      </w:pPr>
    </w:p>
    <w:p w:rsidR="000D65EF" w:rsidRDefault="000D65EF" w:rsidP="000D65EF">
      <w:pPr>
        <w:spacing w:line="240" w:lineRule="auto"/>
        <w:ind w:left="3540" w:firstLine="708"/>
        <w:jc w:val="both"/>
        <w:rPr>
          <w:rFonts w:ascii="Gothic720 BT" w:hAnsi="Gothic720 BT"/>
          <w:b/>
        </w:rPr>
      </w:pPr>
    </w:p>
    <w:p w:rsidR="000D65EF" w:rsidRDefault="000D65EF" w:rsidP="000D65EF">
      <w:pPr>
        <w:spacing w:line="240" w:lineRule="auto"/>
        <w:ind w:left="3540" w:firstLine="708"/>
        <w:jc w:val="both"/>
        <w:rPr>
          <w:rFonts w:ascii="Gothic720 BT" w:hAnsi="Gothic720 BT"/>
        </w:rPr>
      </w:pPr>
      <w:r>
        <w:rPr>
          <w:rFonts w:ascii="Gothic720 BT" w:hAnsi="Gothic720 BT"/>
          <w:b/>
        </w:rPr>
        <w:t xml:space="preserve">EXPEDIENTE: </w:t>
      </w:r>
      <w:r>
        <w:rPr>
          <w:rFonts w:ascii="Gothic720 BT" w:hAnsi="Gothic720 BT"/>
        </w:rPr>
        <w:t>IEEQ/AG/006/2016-P.</w:t>
      </w:r>
    </w:p>
    <w:p w:rsidR="000D65EF" w:rsidRDefault="000D65EF" w:rsidP="000D65EF">
      <w:pPr>
        <w:spacing w:line="240" w:lineRule="auto"/>
        <w:ind w:left="4253"/>
        <w:jc w:val="both"/>
        <w:rPr>
          <w:rFonts w:ascii="Gothic720 BT" w:hAnsi="Gothic720 BT" w:cs="Arial"/>
          <w:b/>
          <w:lang w:eastAsia="es-MX"/>
        </w:rPr>
      </w:pPr>
      <w:r>
        <w:rPr>
          <w:rFonts w:ascii="Gothic720 BT" w:hAnsi="Gothic720 BT"/>
          <w:b/>
        </w:rPr>
        <w:t xml:space="preserve">PROMOVENTE: </w:t>
      </w:r>
      <w:r>
        <w:rPr>
          <w:rFonts w:ascii="Gothic720 BT" w:hAnsi="Gothic720 BT"/>
        </w:rPr>
        <w:t>QUERÉTARO INDEPENDIENTE.</w:t>
      </w:r>
      <w:r>
        <w:rPr>
          <w:rFonts w:ascii="Gothic720 BT" w:hAnsi="Gothic720 BT" w:cs="Arial"/>
          <w:b/>
          <w:lang w:eastAsia="es-MX"/>
        </w:rPr>
        <w:t xml:space="preserve">   </w:t>
      </w:r>
    </w:p>
    <w:p w:rsidR="000D65EF" w:rsidRPr="009806A0" w:rsidRDefault="000D65EF" w:rsidP="000D65EF">
      <w:pPr>
        <w:spacing w:line="240" w:lineRule="auto"/>
        <w:ind w:left="4253"/>
        <w:jc w:val="both"/>
        <w:rPr>
          <w:rFonts w:ascii="Gothic720 BT" w:hAnsi="Gothic720 BT" w:cs="Arial"/>
          <w:b/>
          <w:lang w:eastAsia="es-MX"/>
        </w:rPr>
      </w:pPr>
      <w:r>
        <w:rPr>
          <w:rFonts w:ascii="Gothic720 BT" w:hAnsi="Gothic720 BT"/>
          <w:b/>
        </w:rPr>
        <w:t>A</w:t>
      </w:r>
      <w:r w:rsidRPr="00163281">
        <w:rPr>
          <w:rFonts w:ascii="Gothic720 BT" w:hAnsi="Gothic720 BT" w:cs="Arial"/>
          <w:b/>
          <w:lang w:eastAsia="es-MX"/>
        </w:rPr>
        <w:t>SUNTO:</w:t>
      </w:r>
      <w:r>
        <w:rPr>
          <w:rFonts w:ascii="Gothic720 BT" w:hAnsi="Gothic720 BT" w:cs="Arial"/>
          <w:lang w:eastAsia="es-MX"/>
        </w:rPr>
        <w:t xml:space="preserve"> AGREGAR Y CUMPLIMIENTO A REQUERIMIENTO.</w:t>
      </w:r>
    </w:p>
    <w:p w:rsidR="000D65EF" w:rsidRPr="00284A7D" w:rsidRDefault="000D65EF" w:rsidP="000D65EF">
      <w:pPr>
        <w:jc w:val="both"/>
        <w:rPr>
          <w:rFonts w:ascii="Gothic720 BT" w:hAnsi="Gothic720 BT" w:cs="Arial"/>
          <w:b/>
        </w:rPr>
      </w:pPr>
    </w:p>
    <w:p w:rsidR="000D65EF" w:rsidRPr="00284A7D" w:rsidRDefault="000D65EF" w:rsidP="000D65EF">
      <w:pPr>
        <w:jc w:val="center"/>
        <w:rPr>
          <w:rFonts w:ascii="Gothic720 BT" w:hAnsi="Gothic720 BT" w:cs="Arial"/>
          <w:b/>
        </w:rPr>
      </w:pPr>
      <w:r w:rsidRPr="00284A7D">
        <w:rPr>
          <w:rFonts w:ascii="Gothic720 BT" w:hAnsi="Gothic720 BT" w:cs="Arial"/>
          <w:b/>
        </w:rPr>
        <w:t>CÉDULA DE NOTIFICACIÓN POR ESTRADOS</w:t>
      </w:r>
    </w:p>
    <w:p w:rsidR="000D65EF" w:rsidRPr="00E40FB3" w:rsidRDefault="000D65EF" w:rsidP="000D65EF">
      <w:pPr>
        <w:jc w:val="both"/>
        <w:rPr>
          <w:rFonts w:ascii="Gothic720 BT" w:hAnsi="Gothic720 BT" w:cs="Arial"/>
        </w:rPr>
      </w:pPr>
      <w:r w:rsidRPr="00E40FB3">
        <w:rPr>
          <w:rFonts w:ascii="Gothic720 BT" w:hAnsi="Gothic720 BT" w:cs="Arial"/>
        </w:rPr>
        <w:t xml:space="preserve">En Santiago de Querétaro, Querétaro, </w:t>
      </w:r>
      <w:r>
        <w:rPr>
          <w:rFonts w:ascii="Gothic720 BT" w:hAnsi="Gothic720 BT"/>
          <w:lang w:eastAsia="es-ES"/>
        </w:rPr>
        <w:t>diez</w:t>
      </w:r>
      <w:r w:rsidRPr="00E40FB3">
        <w:rPr>
          <w:rFonts w:ascii="Gothic720 BT" w:hAnsi="Gothic720 BT"/>
          <w:lang w:eastAsia="es-ES"/>
        </w:rPr>
        <w:t xml:space="preserve"> </w:t>
      </w:r>
      <w:r w:rsidRPr="00E40FB3">
        <w:rPr>
          <w:rFonts w:ascii="Gothic720 BT" w:hAnsi="Gothic720 BT" w:cs="Arial"/>
        </w:rPr>
        <w:t xml:space="preserve">de </w:t>
      </w:r>
      <w:r>
        <w:rPr>
          <w:rFonts w:ascii="Gothic720 BT" w:hAnsi="Gothic720 BT" w:cs="Arial"/>
        </w:rPr>
        <w:t>diciembre</w:t>
      </w:r>
      <w:r w:rsidRPr="00E40FB3">
        <w:rPr>
          <w:rFonts w:ascii="Gothic720 BT" w:hAnsi="Gothic720 BT" w:cs="Arial"/>
        </w:rPr>
        <w:t xml:space="preserve"> de dos mil veinte,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E40FB3">
        <w:rPr>
          <w:rFonts w:ascii="Gothic720 BT" w:hAnsi="Gothic720 BT" w:cs="Arial"/>
          <w:b/>
        </w:rPr>
        <w:t>NOTIFICA</w:t>
      </w:r>
      <w:r w:rsidRPr="00E40FB3">
        <w:rPr>
          <w:rFonts w:ascii="Gothic720 BT" w:hAnsi="Gothic720 BT" w:cs="Arial"/>
        </w:rPr>
        <w:t xml:space="preserve"> el contenido del proveído de mérito, mediante cédula que se fija en los </w:t>
      </w:r>
      <w:r w:rsidRPr="00E40FB3">
        <w:rPr>
          <w:rFonts w:ascii="Gothic720 BT" w:hAnsi="Gothic720 BT" w:cs="Arial"/>
          <w:b/>
        </w:rPr>
        <w:t>ESTRADOS</w:t>
      </w:r>
      <w:r w:rsidRPr="00E40FB3">
        <w:rPr>
          <w:rFonts w:ascii="Gothic720 BT" w:hAnsi="Gothic720 BT" w:cs="Arial"/>
        </w:rPr>
        <w:t xml:space="preserve"> de este Consejo General, anexando copia del mismo, documentos que constan en un total de </w:t>
      </w:r>
      <w:r>
        <w:rPr>
          <w:rFonts w:ascii="Gothic720 BT" w:hAnsi="Gothic720 BT" w:cs="Arial"/>
        </w:rPr>
        <w:t>dos</w:t>
      </w:r>
      <w:r w:rsidRPr="00E40FB3">
        <w:rPr>
          <w:rFonts w:ascii="Gothic720 BT" w:hAnsi="Gothic720 BT" w:cs="Arial"/>
        </w:rPr>
        <w:t xml:space="preserve"> fojas útiles con texto por un solo lado. </w:t>
      </w:r>
      <w:r w:rsidRPr="00E40FB3">
        <w:rPr>
          <w:rFonts w:ascii="Gothic720 BT" w:hAnsi="Gothic720 BT" w:cs="Arial"/>
          <w:b/>
          <w:caps/>
        </w:rPr>
        <w:t>Doy fe</w:t>
      </w:r>
      <w:r w:rsidRPr="00E40FB3">
        <w:rPr>
          <w:rFonts w:ascii="Gothic720 BT" w:hAnsi="Gothic720 BT" w:cs="Arial"/>
          <w:caps/>
        </w:rPr>
        <w:t>. -------------------</w:t>
      </w:r>
      <w:r>
        <w:rPr>
          <w:rFonts w:ascii="Gothic720 BT" w:hAnsi="Gothic720 BT" w:cs="Arial"/>
          <w:caps/>
        </w:rPr>
        <w:t>-------------------------------------------------------</w:t>
      </w:r>
    </w:p>
    <w:p w:rsidR="000D65EF" w:rsidRPr="00E40FB3" w:rsidRDefault="000D65EF" w:rsidP="000D65EF">
      <w:pPr>
        <w:spacing w:after="0"/>
        <w:jc w:val="center"/>
        <w:rPr>
          <w:rFonts w:ascii="Gothic720 BT" w:hAnsi="Gothic720 BT" w:cs="Arial"/>
          <w:b/>
          <w:lang w:eastAsia="es-ES"/>
        </w:rPr>
      </w:pPr>
    </w:p>
    <w:p w:rsidR="000D65EF" w:rsidRPr="00E40FB3" w:rsidRDefault="000D65EF" w:rsidP="000D65EF">
      <w:pPr>
        <w:spacing w:after="0"/>
        <w:jc w:val="center"/>
        <w:rPr>
          <w:rFonts w:ascii="Gothic720 BT" w:hAnsi="Gothic720 BT" w:cs="Arial"/>
          <w:b/>
          <w:lang w:eastAsia="es-ES"/>
        </w:rPr>
      </w:pPr>
    </w:p>
    <w:p w:rsidR="000D65EF" w:rsidRPr="00E40FB3" w:rsidRDefault="000D65EF" w:rsidP="000D65EF">
      <w:pPr>
        <w:spacing w:after="0"/>
        <w:jc w:val="both"/>
        <w:rPr>
          <w:rFonts w:ascii="Gothic720 BT" w:hAnsi="Gothic720 BT"/>
          <w:b/>
        </w:rPr>
      </w:pPr>
    </w:p>
    <w:p w:rsidR="000D65EF" w:rsidRPr="00E40FB3" w:rsidRDefault="000D65EF" w:rsidP="000D65EF">
      <w:pPr>
        <w:spacing w:after="0"/>
        <w:jc w:val="center"/>
        <w:rPr>
          <w:rFonts w:ascii="Gothic720 BT" w:hAnsi="Gothic720 BT"/>
          <w:b/>
        </w:rPr>
      </w:pPr>
      <w:r w:rsidRPr="00E40FB3">
        <w:rPr>
          <w:rFonts w:ascii="Gothic720 BT" w:hAnsi="Gothic720 BT"/>
          <w:b/>
        </w:rPr>
        <w:t>Mtro. Carlos Alejandro Pérez Espíndola</w:t>
      </w:r>
    </w:p>
    <w:p w:rsidR="000D65EF" w:rsidRPr="00E40FB3" w:rsidRDefault="000D65EF" w:rsidP="000D65EF">
      <w:pPr>
        <w:spacing w:after="0"/>
        <w:jc w:val="center"/>
        <w:rPr>
          <w:rFonts w:ascii="Gothic720 BT" w:hAnsi="Gothic720 BT"/>
          <w:b/>
        </w:rPr>
      </w:pPr>
      <w:r w:rsidRPr="00E40FB3">
        <w:rPr>
          <w:rFonts w:ascii="Gothic720 BT" w:hAnsi="Gothic720 BT"/>
        </w:rPr>
        <w:t>Encargado de despacho de la Secretaría Ejecutiva</w:t>
      </w:r>
      <w:r w:rsidRPr="00E40FB3">
        <w:rPr>
          <w:rFonts w:ascii="Gothic720 BT" w:hAnsi="Gothic720 BT"/>
          <w:b/>
        </w:rPr>
        <w:t xml:space="preserve"> </w:t>
      </w:r>
    </w:p>
    <w:p w:rsidR="000D65EF" w:rsidRPr="00E40FB3" w:rsidRDefault="000D65EF" w:rsidP="000D65EF">
      <w:pPr>
        <w:spacing w:after="0"/>
        <w:jc w:val="center"/>
        <w:rPr>
          <w:rFonts w:ascii="Gothic720 BT" w:hAnsi="Gothic720 BT"/>
          <w:b/>
        </w:rPr>
      </w:pPr>
    </w:p>
    <w:p w:rsidR="000D65EF" w:rsidRPr="00E40FB3" w:rsidRDefault="000D65EF" w:rsidP="000D65EF">
      <w:pPr>
        <w:spacing w:after="0"/>
        <w:jc w:val="center"/>
        <w:rPr>
          <w:rFonts w:ascii="Gothic720 BT" w:hAnsi="Gothic720 BT"/>
        </w:rPr>
      </w:pPr>
    </w:p>
    <w:p w:rsidR="000D65EF" w:rsidRPr="00E40FB3" w:rsidRDefault="000D65EF" w:rsidP="000D65EF">
      <w:pPr>
        <w:tabs>
          <w:tab w:val="left" w:pos="4569"/>
          <w:tab w:val="left" w:pos="9214"/>
        </w:tabs>
        <w:spacing w:after="0"/>
        <w:ind w:left="567" w:right="-235"/>
        <w:jc w:val="center"/>
        <w:rPr>
          <w:rFonts w:ascii="Gothic720 BT" w:hAnsi="Gothic720 BT" w:cs="Arial"/>
          <w:lang w:val="es-ES" w:eastAsia="es-ES"/>
        </w:rPr>
      </w:pPr>
      <w:r w:rsidRPr="00E40FB3">
        <w:rPr>
          <w:rFonts w:ascii="Gothic720 BT" w:hAnsi="Gothic720 BT" w:cs="Arial"/>
          <w:lang w:val="es-ES" w:eastAsia="es-ES"/>
        </w:rPr>
        <w:t xml:space="preserve"> </w:t>
      </w:r>
    </w:p>
    <w:p w:rsidR="000D65EF" w:rsidRPr="00E40FB3" w:rsidRDefault="000D65EF" w:rsidP="000D65EF">
      <w:pPr>
        <w:tabs>
          <w:tab w:val="left" w:pos="4569"/>
          <w:tab w:val="left" w:pos="9214"/>
        </w:tabs>
        <w:spacing w:after="0"/>
        <w:ind w:left="284" w:right="-235"/>
        <w:jc w:val="center"/>
        <w:rPr>
          <w:rFonts w:ascii="Gothic720 BT" w:hAnsi="Gothic720 BT" w:cs="Arial"/>
          <w:lang w:val="es-ES" w:eastAsia="es-ES"/>
        </w:rPr>
      </w:pPr>
    </w:p>
    <w:p w:rsidR="000D65EF" w:rsidRPr="00E40FB3" w:rsidRDefault="000D65EF" w:rsidP="000D65EF">
      <w:pPr>
        <w:tabs>
          <w:tab w:val="left" w:pos="4569"/>
          <w:tab w:val="left" w:pos="9214"/>
        </w:tabs>
        <w:spacing w:after="0"/>
        <w:ind w:left="284" w:right="-235"/>
        <w:jc w:val="center"/>
        <w:rPr>
          <w:rFonts w:ascii="Gothic720 BT" w:hAnsi="Gothic720 BT" w:cs="Arial"/>
          <w:lang w:val="es-ES" w:eastAsia="es-ES"/>
        </w:rPr>
      </w:pPr>
    </w:p>
    <w:p w:rsidR="000D65EF" w:rsidRPr="00E40FB3" w:rsidRDefault="000D65EF" w:rsidP="000D65EF">
      <w:pPr>
        <w:tabs>
          <w:tab w:val="left" w:pos="4569"/>
          <w:tab w:val="left" w:pos="9214"/>
        </w:tabs>
        <w:spacing w:after="0"/>
        <w:ind w:left="1416" w:right="-235"/>
        <w:jc w:val="center"/>
        <w:rPr>
          <w:rFonts w:ascii="Gothic720 BT" w:hAnsi="Gothic720 BT" w:cs="Arial"/>
          <w:lang w:val="es-ES" w:eastAsia="es-ES"/>
        </w:rPr>
      </w:pPr>
    </w:p>
    <w:p w:rsidR="000D65EF" w:rsidRPr="00E40FB3" w:rsidRDefault="000D65EF" w:rsidP="000D65EF">
      <w:pPr>
        <w:tabs>
          <w:tab w:val="left" w:pos="4569"/>
          <w:tab w:val="left" w:pos="9214"/>
        </w:tabs>
        <w:spacing w:after="0"/>
        <w:ind w:left="1416" w:right="-235"/>
        <w:jc w:val="center"/>
        <w:rPr>
          <w:rFonts w:ascii="Gothic720 BT" w:hAnsi="Gothic720 BT" w:cs="Arial"/>
          <w:lang w:eastAsia="es-ES"/>
        </w:rPr>
      </w:pPr>
    </w:p>
    <w:p w:rsidR="000D65EF" w:rsidRPr="00E40FB3" w:rsidRDefault="000D65EF" w:rsidP="000D65EF">
      <w:pPr>
        <w:tabs>
          <w:tab w:val="left" w:pos="4569"/>
          <w:tab w:val="left" w:pos="9214"/>
        </w:tabs>
        <w:spacing w:after="0"/>
        <w:ind w:left="1416" w:right="-235"/>
        <w:jc w:val="center"/>
        <w:rPr>
          <w:rFonts w:ascii="Gothic720 BT" w:hAnsi="Gothic720 BT" w:cs="Arial"/>
          <w:lang w:val="es-ES" w:eastAsia="es-ES"/>
        </w:rPr>
      </w:pPr>
    </w:p>
    <w:p w:rsidR="000D65EF" w:rsidRPr="00E40FB3" w:rsidRDefault="000D65EF" w:rsidP="000D65EF">
      <w:pPr>
        <w:ind w:right="-235"/>
        <w:rPr>
          <w:rFonts w:ascii="Gothic720 BT" w:hAnsi="Gothic720 BT"/>
        </w:rPr>
      </w:pPr>
    </w:p>
    <w:p w:rsidR="000D65EF" w:rsidRPr="00E40FB3" w:rsidRDefault="000D65EF" w:rsidP="000D65EF">
      <w:pPr>
        <w:ind w:right="-235"/>
        <w:rPr>
          <w:rFonts w:ascii="Gothic720 BT" w:hAnsi="Gothic720 BT"/>
        </w:rPr>
      </w:pPr>
    </w:p>
    <w:p w:rsidR="000D65EF" w:rsidRDefault="000D65EF" w:rsidP="000D65EF">
      <w:pPr>
        <w:spacing w:line="240" w:lineRule="auto"/>
        <w:ind w:left="3540" w:firstLine="708"/>
        <w:jc w:val="both"/>
        <w:rPr>
          <w:rFonts w:ascii="Gothic720 BT" w:hAnsi="Gothic720 BT"/>
        </w:rPr>
      </w:pPr>
      <w:r w:rsidRPr="00E40FB3">
        <w:rPr>
          <w:rFonts w:ascii="Gothic720 BT" w:hAnsi="Gothic720 BT"/>
        </w:rPr>
        <w:br w:type="page"/>
      </w:r>
    </w:p>
    <w:p w:rsidR="000D65EF" w:rsidRDefault="000D65EF" w:rsidP="000D65EF">
      <w:pPr>
        <w:spacing w:line="240" w:lineRule="auto"/>
        <w:ind w:left="3540" w:firstLine="708"/>
        <w:jc w:val="both"/>
        <w:rPr>
          <w:rFonts w:ascii="Gothic720 BT" w:hAnsi="Gothic720 BT"/>
        </w:rPr>
      </w:pPr>
      <w:r>
        <w:rPr>
          <w:rFonts w:ascii="Gothic720 BT" w:hAnsi="Gothic720 BT"/>
          <w:b/>
        </w:rPr>
        <w:lastRenderedPageBreak/>
        <w:t xml:space="preserve">EXPEDIENTE: </w:t>
      </w:r>
      <w:r>
        <w:rPr>
          <w:rFonts w:ascii="Gothic720 BT" w:hAnsi="Gothic720 BT"/>
        </w:rPr>
        <w:t>IEEQ/AG/006/2016-P.</w:t>
      </w:r>
    </w:p>
    <w:p w:rsidR="000D65EF" w:rsidRDefault="000D65EF" w:rsidP="000D65EF">
      <w:pPr>
        <w:spacing w:line="240" w:lineRule="auto"/>
        <w:ind w:left="4253"/>
        <w:jc w:val="both"/>
        <w:rPr>
          <w:rFonts w:ascii="Gothic720 BT" w:hAnsi="Gothic720 BT" w:cs="Arial"/>
          <w:b/>
          <w:lang w:eastAsia="es-MX"/>
        </w:rPr>
      </w:pPr>
      <w:r>
        <w:rPr>
          <w:rFonts w:ascii="Gothic720 BT" w:hAnsi="Gothic720 BT"/>
          <w:b/>
        </w:rPr>
        <w:t xml:space="preserve">PROMOVENTE: </w:t>
      </w:r>
      <w:r>
        <w:rPr>
          <w:rFonts w:ascii="Gothic720 BT" w:hAnsi="Gothic720 BT"/>
        </w:rPr>
        <w:t>QUERÉTARO INDEPENDIENTE.</w:t>
      </w:r>
      <w:r>
        <w:rPr>
          <w:rFonts w:ascii="Gothic720 BT" w:hAnsi="Gothic720 BT" w:cs="Arial"/>
          <w:b/>
          <w:lang w:eastAsia="es-MX"/>
        </w:rPr>
        <w:t xml:space="preserve">   </w:t>
      </w:r>
    </w:p>
    <w:p w:rsidR="000D65EF" w:rsidRPr="009806A0" w:rsidRDefault="000D65EF" w:rsidP="000D65EF">
      <w:pPr>
        <w:spacing w:line="240" w:lineRule="auto"/>
        <w:ind w:left="4253"/>
        <w:jc w:val="both"/>
        <w:rPr>
          <w:rFonts w:ascii="Gothic720 BT" w:hAnsi="Gothic720 BT" w:cs="Arial"/>
          <w:b/>
          <w:lang w:eastAsia="es-MX"/>
        </w:rPr>
      </w:pPr>
      <w:r>
        <w:rPr>
          <w:rFonts w:ascii="Gothic720 BT" w:hAnsi="Gothic720 BT"/>
          <w:b/>
        </w:rPr>
        <w:t>A</w:t>
      </w:r>
      <w:r w:rsidRPr="00163281">
        <w:rPr>
          <w:rFonts w:ascii="Gothic720 BT" w:hAnsi="Gothic720 BT" w:cs="Arial"/>
          <w:b/>
          <w:lang w:eastAsia="es-MX"/>
        </w:rPr>
        <w:t>SUNTO:</w:t>
      </w:r>
      <w:r>
        <w:rPr>
          <w:rFonts w:ascii="Gothic720 BT" w:hAnsi="Gothic720 BT" w:cs="Arial"/>
          <w:lang w:eastAsia="es-MX"/>
        </w:rPr>
        <w:t xml:space="preserve"> AGREGAR Y CUMPLIMIENTO A REQUERIMIENTO.</w:t>
      </w:r>
    </w:p>
    <w:p w:rsidR="000D65EF" w:rsidRPr="00E40FB3" w:rsidRDefault="000D65EF" w:rsidP="000D65EF">
      <w:pPr>
        <w:tabs>
          <w:tab w:val="left" w:pos="4487"/>
        </w:tabs>
        <w:spacing w:after="0"/>
        <w:ind w:right="-235"/>
        <w:jc w:val="center"/>
        <w:rPr>
          <w:rFonts w:ascii="Gothic720 BT" w:hAnsi="Gothic720 BT" w:cs="Arial"/>
          <w:b/>
          <w:lang w:val="es-ES" w:eastAsia="es-ES"/>
        </w:rPr>
      </w:pPr>
      <w:r w:rsidRPr="00E40FB3">
        <w:rPr>
          <w:rFonts w:ascii="Gothic720 BT" w:hAnsi="Gothic720 BT" w:cs="Arial"/>
          <w:b/>
          <w:lang w:val="es-ES" w:eastAsia="es-ES"/>
        </w:rPr>
        <w:t>CONSTANCIA DE FIJACIÓN EN ESTRADOS</w:t>
      </w:r>
    </w:p>
    <w:p w:rsidR="000D65EF" w:rsidRPr="00E40FB3" w:rsidRDefault="000D65EF" w:rsidP="000D65EF">
      <w:pPr>
        <w:tabs>
          <w:tab w:val="left" w:pos="4487"/>
        </w:tabs>
        <w:spacing w:after="0"/>
        <w:ind w:right="-235"/>
        <w:jc w:val="both"/>
        <w:rPr>
          <w:rFonts w:ascii="Gothic720 BT" w:hAnsi="Gothic720 BT" w:cs="Arial"/>
          <w:lang w:val="es-ES" w:eastAsia="es-ES"/>
        </w:rPr>
      </w:pPr>
    </w:p>
    <w:p w:rsidR="000D65EF" w:rsidRPr="00E40FB3" w:rsidRDefault="000D65EF" w:rsidP="000D65EF">
      <w:pPr>
        <w:jc w:val="both"/>
        <w:rPr>
          <w:rFonts w:ascii="Gothic720 BT" w:hAnsi="Gothic720 BT"/>
          <w:lang w:eastAsia="es-MX"/>
        </w:rPr>
      </w:pPr>
      <w:r w:rsidRPr="00E40FB3">
        <w:rPr>
          <w:rFonts w:ascii="Gothic720 BT" w:hAnsi="Gothic720 BT"/>
          <w:lang w:eastAsia="es-MX"/>
        </w:rPr>
        <w:t xml:space="preserve">En Santiago de Querétaro, Querétaro, </w:t>
      </w:r>
      <w:r>
        <w:rPr>
          <w:rFonts w:ascii="Gothic720 BT" w:hAnsi="Gothic720 BT"/>
          <w:lang w:eastAsia="es-ES"/>
        </w:rPr>
        <w:t>diez</w:t>
      </w:r>
      <w:r w:rsidRPr="00E40FB3">
        <w:rPr>
          <w:rFonts w:ascii="Gothic720 BT" w:hAnsi="Gothic720 BT"/>
          <w:lang w:eastAsia="es-ES"/>
        </w:rPr>
        <w:t xml:space="preserve"> </w:t>
      </w:r>
      <w:r w:rsidRPr="00E40FB3">
        <w:rPr>
          <w:rFonts w:ascii="Gothic720 BT" w:eastAsia="Times New Roman" w:hAnsi="Gothic720 BT" w:cs="Arial"/>
          <w:color w:val="000000"/>
          <w:lang w:eastAsia="es-ES"/>
        </w:rPr>
        <w:t xml:space="preserve">de </w:t>
      </w:r>
      <w:r>
        <w:rPr>
          <w:rFonts w:ascii="Gothic720 BT" w:eastAsia="Times New Roman" w:hAnsi="Gothic720 BT" w:cs="Arial"/>
          <w:color w:val="000000"/>
          <w:lang w:eastAsia="es-ES"/>
        </w:rPr>
        <w:t>diciembre</w:t>
      </w:r>
      <w:r w:rsidRPr="00E40FB3">
        <w:rPr>
          <w:rFonts w:ascii="Gothic720 BT" w:hAnsi="Gothic720 BT"/>
          <w:lang w:eastAsia="es-MX"/>
        </w:rPr>
        <w:t xml:space="preserve"> de dos mil veinte, el Encargado de Despacho de la Secretaría Ejecutiva del Instituto Electoral del Estado de Querétaro </w:t>
      </w:r>
      <w:r w:rsidRPr="00E40FB3">
        <w:rPr>
          <w:rFonts w:ascii="Gothic720 BT" w:hAnsi="Gothic720 BT"/>
          <w:b/>
          <w:bCs/>
          <w:lang w:eastAsia="es-MX"/>
        </w:rPr>
        <w:t>HACE CONSTAR</w:t>
      </w:r>
      <w:r w:rsidRPr="00E40FB3">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Pr>
          <w:rFonts w:ascii="Gothic720 BT" w:hAnsi="Gothic720 BT"/>
          <w:lang w:eastAsia="es-MX"/>
        </w:rPr>
        <w:t>tres</w:t>
      </w:r>
      <w:r w:rsidRPr="00E40FB3">
        <w:rPr>
          <w:rFonts w:ascii="Gothic720 BT" w:hAnsi="Gothic720 BT"/>
          <w:lang w:eastAsia="es-MX"/>
        </w:rPr>
        <w:t xml:space="preserve"> fojas útiles con texto por un solo lado; lo anterior para los fines y efectos legales a que haya lugar. </w:t>
      </w:r>
      <w:r w:rsidRPr="00E40FB3">
        <w:rPr>
          <w:rFonts w:ascii="Gothic720 BT" w:hAnsi="Gothic720 BT"/>
          <w:b/>
          <w:bCs/>
          <w:lang w:eastAsia="es-MX"/>
        </w:rPr>
        <w:t>DOY FE.</w:t>
      </w:r>
      <w:r w:rsidRPr="00E40FB3">
        <w:rPr>
          <w:rFonts w:ascii="Gothic720 BT" w:hAnsi="Gothic720 BT"/>
          <w:lang w:eastAsia="es-MX"/>
        </w:rPr>
        <w:t xml:space="preserve"> --</w:t>
      </w:r>
      <w:r>
        <w:rPr>
          <w:rFonts w:ascii="Gothic720 BT" w:hAnsi="Gothic720 BT"/>
          <w:lang w:eastAsia="es-MX"/>
        </w:rPr>
        <w:t>------------------------------------------------------------------------------------</w:t>
      </w:r>
      <w:r w:rsidRPr="00E40FB3">
        <w:rPr>
          <w:rFonts w:ascii="Gothic720 BT" w:hAnsi="Gothic720 BT"/>
          <w:lang w:eastAsia="es-MX"/>
        </w:rPr>
        <w:t>--</w:t>
      </w:r>
    </w:p>
    <w:p w:rsidR="000D65EF" w:rsidRPr="00E40FB3" w:rsidRDefault="000D65EF" w:rsidP="000D65EF">
      <w:pPr>
        <w:spacing w:after="0"/>
        <w:jc w:val="center"/>
        <w:rPr>
          <w:rFonts w:ascii="Gothic720 BT" w:hAnsi="Gothic720 BT"/>
          <w:lang w:eastAsia="es-MX"/>
        </w:rPr>
      </w:pPr>
    </w:p>
    <w:p w:rsidR="000D65EF" w:rsidRPr="00E40FB3" w:rsidRDefault="000D65EF" w:rsidP="000D65EF">
      <w:pPr>
        <w:spacing w:after="0"/>
        <w:jc w:val="center"/>
        <w:rPr>
          <w:rFonts w:ascii="Gothic720 BT" w:hAnsi="Gothic720 BT"/>
          <w:lang w:eastAsia="es-MX"/>
        </w:rPr>
      </w:pPr>
    </w:p>
    <w:p w:rsidR="000D65EF" w:rsidRPr="00E40FB3" w:rsidRDefault="000D65EF" w:rsidP="000D65EF">
      <w:pPr>
        <w:spacing w:after="0"/>
        <w:jc w:val="center"/>
        <w:rPr>
          <w:rFonts w:ascii="Gothic720 BT" w:hAnsi="Gothic720 BT"/>
          <w:lang w:eastAsia="es-MX"/>
        </w:rPr>
      </w:pPr>
    </w:p>
    <w:p w:rsidR="000D65EF" w:rsidRPr="00E40FB3" w:rsidRDefault="000D65EF" w:rsidP="000D65EF">
      <w:pPr>
        <w:spacing w:after="0"/>
        <w:jc w:val="both"/>
        <w:rPr>
          <w:rFonts w:ascii="Gothic720 BT" w:hAnsi="Gothic720 BT"/>
          <w:b/>
        </w:rPr>
      </w:pPr>
    </w:p>
    <w:p w:rsidR="000D65EF" w:rsidRPr="00E40FB3" w:rsidRDefault="000D65EF" w:rsidP="000D65EF">
      <w:pPr>
        <w:spacing w:after="0"/>
        <w:jc w:val="center"/>
        <w:rPr>
          <w:rFonts w:ascii="Gothic720 BT" w:hAnsi="Gothic720 BT"/>
          <w:b/>
        </w:rPr>
      </w:pPr>
      <w:r w:rsidRPr="00E40FB3">
        <w:rPr>
          <w:rFonts w:ascii="Gothic720 BT" w:hAnsi="Gothic720 BT"/>
          <w:b/>
        </w:rPr>
        <w:t>Mtro. Carlos Alejandro Pérez Espíndola</w:t>
      </w:r>
    </w:p>
    <w:p w:rsidR="000D65EF" w:rsidRPr="00E40FB3" w:rsidRDefault="000D65EF" w:rsidP="000D65EF">
      <w:pPr>
        <w:spacing w:after="0"/>
        <w:jc w:val="center"/>
        <w:rPr>
          <w:rFonts w:ascii="Gothic720 BT" w:hAnsi="Gothic720 BT"/>
        </w:rPr>
      </w:pPr>
      <w:r w:rsidRPr="00E40FB3">
        <w:rPr>
          <w:rFonts w:ascii="Gothic720 BT" w:hAnsi="Gothic720 BT"/>
        </w:rPr>
        <w:t>Encargado de despacho de la Secretaría Ejecutiva</w:t>
      </w:r>
    </w:p>
    <w:p w:rsidR="000D65EF" w:rsidRPr="00E40FB3" w:rsidRDefault="000D65EF" w:rsidP="000D65EF">
      <w:pPr>
        <w:spacing w:after="160" w:line="259" w:lineRule="auto"/>
        <w:rPr>
          <w:rFonts w:ascii="Gothic720 BT" w:hAnsi="Gothic720 BT"/>
        </w:rPr>
      </w:pPr>
      <w:r w:rsidRPr="00E40FB3">
        <w:rPr>
          <w:rFonts w:ascii="Gothic720 BT" w:hAnsi="Gothic720 BT"/>
        </w:rPr>
        <w:t xml:space="preserve"> </w:t>
      </w:r>
    </w:p>
    <w:p w:rsidR="000D65EF" w:rsidRDefault="000D65EF" w:rsidP="000D65EF">
      <w:pPr>
        <w:spacing w:after="0"/>
        <w:ind w:right="-3"/>
        <w:jc w:val="both"/>
        <w:rPr>
          <w:rFonts w:ascii="Gothic720 BT" w:hAnsi="Gothic720 BT"/>
        </w:rPr>
      </w:pPr>
    </w:p>
    <w:p w:rsidR="000D65EF" w:rsidRPr="009B0500" w:rsidRDefault="000D65EF" w:rsidP="000D65EF">
      <w:pPr>
        <w:spacing w:after="0"/>
        <w:rPr>
          <w:rFonts w:ascii="Gothic720 BT" w:hAnsi="Gothic720 BT"/>
          <w:sz w:val="16"/>
          <w:szCs w:val="16"/>
        </w:rPr>
      </w:pPr>
    </w:p>
    <w:p w:rsidR="0087522E" w:rsidRDefault="0087522E"/>
    <w:sectPr w:rsidR="0087522E" w:rsidSect="00114E2E">
      <w:pgSz w:w="12240" w:h="15840"/>
      <w:pgMar w:top="1135" w:right="1418" w:bottom="567"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2E" w:rsidRDefault="00AC7F2E" w:rsidP="000D65EF">
      <w:pPr>
        <w:spacing w:after="0" w:line="240" w:lineRule="auto"/>
      </w:pPr>
      <w:r>
        <w:separator/>
      </w:r>
    </w:p>
  </w:endnote>
  <w:endnote w:type="continuationSeparator" w:id="0">
    <w:p w:rsidR="00AC7F2E" w:rsidRDefault="00AC7F2E" w:rsidP="000D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2E" w:rsidRDefault="00AC7F2E" w:rsidP="000D65EF">
      <w:pPr>
        <w:spacing w:after="0" w:line="240" w:lineRule="auto"/>
      </w:pPr>
      <w:r>
        <w:separator/>
      </w:r>
    </w:p>
  </w:footnote>
  <w:footnote w:type="continuationSeparator" w:id="0">
    <w:p w:rsidR="00AC7F2E" w:rsidRDefault="00AC7F2E" w:rsidP="000D65EF">
      <w:pPr>
        <w:spacing w:after="0" w:line="240" w:lineRule="auto"/>
      </w:pPr>
      <w:r>
        <w:continuationSeparator/>
      </w:r>
    </w:p>
  </w:footnote>
  <w:footnote w:id="1">
    <w:p w:rsidR="000D65EF" w:rsidRPr="00D7439B" w:rsidRDefault="000D65EF" w:rsidP="00D7439B">
      <w:pPr>
        <w:pStyle w:val="Textonotapie"/>
        <w:spacing w:after="0" w:line="240" w:lineRule="auto"/>
        <w:rPr>
          <w:rFonts w:ascii="Gothic720 BT" w:hAnsi="Gothic720 BT"/>
          <w:sz w:val="16"/>
          <w:szCs w:val="16"/>
        </w:rPr>
      </w:pPr>
      <w:r w:rsidRPr="00D7439B">
        <w:rPr>
          <w:rStyle w:val="Refdenotaalpie"/>
          <w:rFonts w:ascii="Gothic720 BT" w:hAnsi="Gothic720 BT"/>
          <w:sz w:val="16"/>
          <w:szCs w:val="16"/>
        </w:rPr>
        <w:footnoteRef/>
      </w:r>
      <w:r w:rsidRPr="00D7439B">
        <w:rPr>
          <w:rFonts w:ascii="Gothic720 BT" w:hAnsi="Gothic720 BT"/>
          <w:sz w:val="16"/>
          <w:szCs w:val="16"/>
        </w:rPr>
        <w:t xml:space="preserve"> Cabe señalar que el acuse de recibo de la Oficialía de Partes se agrega en una foja útil con texto por un solo lado.  </w:t>
      </w:r>
    </w:p>
  </w:footnote>
  <w:footnote w:id="2">
    <w:p w:rsidR="000D65EF" w:rsidRPr="00D7439B" w:rsidRDefault="000D65EF" w:rsidP="00D7439B">
      <w:pPr>
        <w:tabs>
          <w:tab w:val="left" w:pos="993"/>
        </w:tabs>
        <w:spacing w:line="240" w:lineRule="auto"/>
        <w:jc w:val="both"/>
        <w:rPr>
          <w:rFonts w:ascii="Gothic720 BT" w:hAnsi="Gothic720 BT"/>
          <w:sz w:val="16"/>
          <w:szCs w:val="16"/>
        </w:rPr>
      </w:pPr>
      <w:r w:rsidRPr="00D7439B">
        <w:rPr>
          <w:rStyle w:val="Refdenotaalpie"/>
          <w:rFonts w:ascii="Gothic720 BT" w:hAnsi="Gothic720 BT"/>
          <w:sz w:val="16"/>
          <w:szCs w:val="16"/>
        </w:rPr>
        <w:footnoteRef/>
      </w:r>
      <w:r w:rsidRPr="00D7439B">
        <w:rPr>
          <w:rFonts w:ascii="Gothic720 BT" w:hAnsi="Gothic720 BT"/>
          <w:sz w:val="16"/>
          <w:szCs w:val="16"/>
        </w:rPr>
        <w:t xml:space="preserve"> El párrafo primero de dicho artículo define los procesos internos para la selección de candidaturas a cargos de elección popular, como el conjunto de actividades que realizan los partidos políticos, aspirantes y las precandidaturas a dichos cargos, de conformidad con lo establecido en la Ley General de Instituciones y Procedimientos Electorales, la propia Ley, los Estatutos, reglamentos, acuerdos y demás disposiciones de carácter general que aprueben los órganos de dirección de cada partido político.</w:t>
      </w:r>
    </w:p>
  </w:footnote>
  <w:footnote w:id="3">
    <w:p w:rsidR="00D7439B" w:rsidRPr="00D7439B" w:rsidRDefault="00D7439B" w:rsidP="00D7439B">
      <w:pPr>
        <w:pStyle w:val="Textonotapie"/>
        <w:spacing w:line="240" w:lineRule="auto"/>
        <w:jc w:val="both"/>
        <w:rPr>
          <w:rFonts w:ascii="Gothic720 BT" w:hAnsi="Gothic720 BT"/>
          <w:sz w:val="16"/>
          <w:szCs w:val="16"/>
        </w:rPr>
      </w:pPr>
      <w:r w:rsidRPr="00D7439B">
        <w:rPr>
          <w:rStyle w:val="Refdenotaalpie"/>
          <w:rFonts w:ascii="Gothic720 BT" w:hAnsi="Gothic720 BT"/>
          <w:sz w:val="16"/>
          <w:szCs w:val="16"/>
        </w:rPr>
        <w:footnoteRef/>
      </w:r>
      <w:r w:rsidRPr="00D7439B">
        <w:rPr>
          <w:rFonts w:ascii="Gothic720 BT" w:hAnsi="Gothic720 BT"/>
          <w:sz w:val="16"/>
          <w:szCs w:val="16"/>
        </w:rPr>
        <w:t xml:space="preserve"> Cabe señalar que mediante escrito </w:t>
      </w:r>
      <w:r>
        <w:rPr>
          <w:rFonts w:ascii="Gothic720 BT" w:hAnsi="Gothic720 BT"/>
          <w:sz w:val="16"/>
          <w:szCs w:val="16"/>
        </w:rPr>
        <w:t xml:space="preserve">presentado por la promovente </w:t>
      </w:r>
      <w:r w:rsidRPr="00D7439B">
        <w:rPr>
          <w:rFonts w:ascii="Gothic720 BT" w:hAnsi="Gothic720 BT"/>
          <w:sz w:val="16"/>
          <w:szCs w:val="16"/>
        </w:rPr>
        <w:t xml:space="preserve">en la Oficialía de Partes del Instituto el siete de diciembre del año en curso, </w:t>
      </w:r>
      <w:r>
        <w:rPr>
          <w:rFonts w:ascii="Gothic720 BT" w:hAnsi="Gothic720 BT"/>
          <w:sz w:val="16"/>
          <w:szCs w:val="16"/>
        </w:rPr>
        <w:t xml:space="preserve">se dio cuenta de la modificación de diversas fechas vinculadas con el proceso </w:t>
      </w:r>
      <w:r w:rsidR="00197A44">
        <w:rPr>
          <w:rFonts w:ascii="Gothic720 BT" w:hAnsi="Gothic720 BT"/>
          <w:sz w:val="16"/>
          <w:szCs w:val="16"/>
        </w:rPr>
        <w:t>interno</w:t>
      </w:r>
      <w:r>
        <w:rPr>
          <w:rFonts w:ascii="Gothic720 BT" w:hAnsi="Gothic720 BT"/>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EF"/>
    <w:rsid w:val="000D65EF"/>
    <w:rsid w:val="001443D8"/>
    <w:rsid w:val="00197A44"/>
    <w:rsid w:val="00253A78"/>
    <w:rsid w:val="002F56D6"/>
    <w:rsid w:val="00671BA9"/>
    <w:rsid w:val="00810033"/>
    <w:rsid w:val="0087522E"/>
    <w:rsid w:val="00AC2195"/>
    <w:rsid w:val="00AC7F2E"/>
    <w:rsid w:val="00C325BC"/>
    <w:rsid w:val="00D7439B"/>
    <w:rsid w:val="00DC33BE"/>
    <w:rsid w:val="00E87C6D"/>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E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65EF"/>
    <w:rPr>
      <w:sz w:val="20"/>
      <w:szCs w:val="20"/>
    </w:rPr>
  </w:style>
  <w:style w:type="character" w:customStyle="1" w:styleId="TextonotapieCar">
    <w:name w:val="Texto nota pie Car"/>
    <w:basedOn w:val="Fuentedeprrafopredeter"/>
    <w:link w:val="Textonotapie"/>
    <w:uiPriority w:val="99"/>
    <w:semiHidden/>
    <w:rsid w:val="000D65EF"/>
    <w:rPr>
      <w:rFonts w:ascii="Calibri" w:eastAsia="Calibri" w:hAnsi="Calibri" w:cs="Times New Roman"/>
      <w:sz w:val="20"/>
      <w:szCs w:val="20"/>
    </w:rPr>
  </w:style>
  <w:style w:type="character" w:styleId="Refdenotaalpie">
    <w:name w:val="footnote reference"/>
    <w:uiPriority w:val="99"/>
    <w:semiHidden/>
    <w:unhideWhenUsed/>
    <w:rsid w:val="000D6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E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65EF"/>
    <w:rPr>
      <w:sz w:val="20"/>
      <w:szCs w:val="20"/>
    </w:rPr>
  </w:style>
  <w:style w:type="character" w:customStyle="1" w:styleId="TextonotapieCar">
    <w:name w:val="Texto nota pie Car"/>
    <w:basedOn w:val="Fuentedeprrafopredeter"/>
    <w:link w:val="Textonotapie"/>
    <w:uiPriority w:val="99"/>
    <w:semiHidden/>
    <w:rsid w:val="000D65EF"/>
    <w:rPr>
      <w:rFonts w:ascii="Calibri" w:eastAsia="Calibri" w:hAnsi="Calibri" w:cs="Times New Roman"/>
      <w:sz w:val="20"/>
      <w:szCs w:val="20"/>
    </w:rPr>
  </w:style>
  <w:style w:type="character" w:styleId="Refdenotaalpie">
    <w:name w:val="footnote reference"/>
    <w:uiPriority w:val="99"/>
    <w:semiHidden/>
    <w:unhideWhenUsed/>
    <w:rsid w:val="000D6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253B-B5FC-4CFB-BB39-F5FE2D0D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Aura.Aguilar</cp:lastModifiedBy>
  <cp:revision>2</cp:revision>
  <dcterms:created xsi:type="dcterms:W3CDTF">2020-12-11T21:05:00Z</dcterms:created>
  <dcterms:modified xsi:type="dcterms:W3CDTF">2020-12-11T21:05:00Z</dcterms:modified>
</cp:coreProperties>
</file>