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387" w:type="dxa"/>
        <w:tblInd w:w="2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65B0C" w:rsidRPr="00027D1F" w:rsidTr="00D2163D">
        <w:tc>
          <w:tcPr>
            <w:tcW w:w="5387" w:type="dxa"/>
          </w:tcPr>
          <w:p w:rsidR="00865B0C" w:rsidRPr="00027D1F" w:rsidRDefault="00865B0C" w:rsidP="0043281D">
            <w:pPr>
              <w:rPr>
                <w:rFonts w:ascii="Gothic720 BT" w:hAnsi="Gothic720 BT"/>
                <w:b/>
              </w:rPr>
            </w:pPr>
            <w:r w:rsidRPr="00027D1F">
              <w:rPr>
                <w:rFonts w:ascii="Gothic720 BT" w:hAnsi="Gothic720 BT"/>
                <w:b/>
              </w:rPr>
              <w:t>PROCEDIMIENTO ORDINARIO SANCIONADOR</w:t>
            </w:r>
          </w:p>
          <w:p w:rsidR="00865B0C" w:rsidRPr="00027D1F" w:rsidRDefault="00865B0C" w:rsidP="0043281D">
            <w:pPr>
              <w:rPr>
                <w:rFonts w:ascii="Gothic720 BT" w:hAnsi="Gothic720 BT"/>
                <w:b/>
              </w:rPr>
            </w:pPr>
          </w:p>
          <w:p w:rsidR="00865B0C" w:rsidRPr="00027D1F" w:rsidRDefault="00865B0C" w:rsidP="0043281D">
            <w:pPr>
              <w:rPr>
                <w:rFonts w:ascii="Gothic720 BT" w:hAnsi="Gothic720 BT"/>
              </w:rPr>
            </w:pPr>
            <w:r w:rsidRPr="00027D1F">
              <w:rPr>
                <w:rFonts w:ascii="Gothic720 BT" w:hAnsi="Gothic720 BT"/>
                <w:b/>
              </w:rPr>
              <w:t>EXPEDIENTE:</w:t>
            </w:r>
            <w:r w:rsidRPr="00027D1F">
              <w:rPr>
                <w:rFonts w:ascii="Gothic720 BT" w:hAnsi="Gothic720 BT"/>
              </w:rPr>
              <w:t xml:space="preserve"> IEEQ/POS/002/2019-</w:t>
            </w:r>
            <w:r w:rsidR="00027D1F" w:rsidRPr="00027D1F">
              <w:rPr>
                <w:rFonts w:ascii="Gothic720 BT" w:hAnsi="Gothic720 BT"/>
              </w:rPr>
              <w:t>P Y</w:t>
            </w:r>
            <w:r w:rsidRPr="00027D1F">
              <w:rPr>
                <w:rFonts w:ascii="Gothic720 BT" w:hAnsi="Gothic720 BT"/>
              </w:rPr>
              <w:t xml:space="preserve"> SU ACUMULADO IEEQ/POS/003/2019-P.</w:t>
            </w:r>
          </w:p>
          <w:p w:rsidR="00865B0C" w:rsidRPr="00027D1F" w:rsidRDefault="00865B0C" w:rsidP="0043281D">
            <w:pPr>
              <w:rPr>
                <w:rFonts w:ascii="Gothic720 BT" w:hAnsi="Gothic720 BT"/>
              </w:rPr>
            </w:pPr>
          </w:p>
          <w:p w:rsidR="00865B0C" w:rsidRPr="00027D1F" w:rsidRDefault="00865B0C" w:rsidP="0043281D">
            <w:pPr>
              <w:rPr>
                <w:rFonts w:ascii="Gothic720 BT" w:hAnsi="Gothic720 BT"/>
              </w:rPr>
            </w:pPr>
          </w:p>
          <w:p w:rsidR="00865B0C" w:rsidRPr="00027D1F" w:rsidRDefault="00865B0C" w:rsidP="0043281D">
            <w:pPr>
              <w:jc w:val="both"/>
              <w:rPr>
                <w:rFonts w:ascii="Gothic720 BT" w:hAnsi="Gothic720 BT"/>
              </w:rPr>
            </w:pPr>
            <w:r w:rsidRPr="00027D1F">
              <w:rPr>
                <w:rFonts w:ascii="Gothic720 BT" w:hAnsi="Gothic720 BT"/>
                <w:b/>
              </w:rPr>
              <w:t xml:space="preserve">DENUNCIANTES: </w:t>
            </w:r>
            <w:r w:rsidRPr="00027D1F">
              <w:rPr>
                <w:rFonts w:ascii="Gothic720 BT" w:hAnsi="Gothic720 BT"/>
              </w:rPr>
              <w:t xml:space="preserve">JORGE CRUZ ALTAMIRANO Y MARICRUZ OCAMPO GUERRERO, POR SU PROPIO DERECHO.  </w:t>
            </w:r>
          </w:p>
          <w:p w:rsidR="00865B0C" w:rsidRPr="00027D1F" w:rsidRDefault="00865B0C" w:rsidP="0043281D">
            <w:pPr>
              <w:rPr>
                <w:rFonts w:ascii="Gothic720 BT" w:hAnsi="Gothic720 BT"/>
              </w:rPr>
            </w:pPr>
          </w:p>
          <w:p w:rsidR="00865B0C" w:rsidRPr="00027D1F" w:rsidRDefault="00865B0C" w:rsidP="0043281D">
            <w:pPr>
              <w:jc w:val="both"/>
              <w:rPr>
                <w:rFonts w:ascii="Gothic720 BT" w:hAnsi="Gothic720 BT"/>
              </w:rPr>
            </w:pPr>
            <w:r w:rsidRPr="00027D1F">
              <w:rPr>
                <w:rFonts w:ascii="Gothic720 BT" w:hAnsi="Gothic720 BT"/>
                <w:b/>
              </w:rPr>
              <w:t>DENUNCIADOS:</w:t>
            </w:r>
            <w:r w:rsidRPr="00027D1F">
              <w:rPr>
                <w:rFonts w:ascii="Gothic720 BT" w:hAnsi="Gothic720 BT"/>
              </w:rPr>
              <w:t xml:space="preserve"> ELSA ADANÉ MÉNDEZ ÁLVAREZ, DIPUTADA DE LA LIX LEGISLATURA DEL ESTADO DE QUERÉTARO Y PARTIDO ACCIÓN NACIONAL. </w:t>
            </w:r>
          </w:p>
          <w:p w:rsidR="00865B0C" w:rsidRPr="00027D1F" w:rsidRDefault="00865B0C" w:rsidP="0043281D">
            <w:pPr>
              <w:rPr>
                <w:rFonts w:ascii="Gothic720 BT" w:hAnsi="Gothic720 BT"/>
              </w:rPr>
            </w:pPr>
          </w:p>
          <w:p w:rsidR="00865B0C" w:rsidRPr="00027D1F" w:rsidRDefault="00865B0C" w:rsidP="002830B9">
            <w:pPr>
              <w:rPr>
                <w:rFonts w:ascii="Gothic720 BT" w:hAnsi="Gothic720 BT"/>
              </w:rPr>
            </w:pPr>
            <w:r w:rsidRPr="00027D1F">
              <w:rPr>
                <w:rFonts w:ascii="Gothic720 BT" w:hAnsi="Gothic720 BT"/>
                <w:b/>
              </w:rPr>
              <w:t>ASUNTO:</w:t>
            </w:r>
            <w:r w:rsidRPr="00027D1F">
              <w:rPr>
                <w:rFonts w:ascii="Gothic720 BT" w:hAnsi="Gothic720 BT"/>
              </w:rPr>
              <w:t xml:space="preserve"> </w:t>
            </w:r>
            <w:r w:rsidR="002830B9" w:rsidRPr="00027D1F">
              <w:rPr>
                <w:rFonts w:ascii="Gothic720 BT" w:hAnsi="Gothic720 BT"/>
              </w:rPr>
              <w:t>SE REMITE A ARCHIVO.</w:t>
            </w:r>
          </w:p>
        </w:tc>
      </w:tr>
    </w:tbl>
    <w:p w:rsidR="00865B0C" w:rsidRPr="00027D1F" w:rsidRDefault="00865B0C" w:rsidP="00865B0C">
      <w:pPr>
        <w:spacing w:after="0" w:line="240" w:lineRule="auto"/>
        <w:ind w:left="1134"/>
        <w:jc w:val="both"/>
        <w:textAlignment w:val="baseline"/>
        <w:rPr>
          <w:rFonts w:ascii="Gothic720 BT" w:eastAsia="Times New Roman" w:hAnsi="Gothic720 BT" w:cs="Times New Roman"/>
          <w:lang w:val="es-ES" w:eastAsia="es-MX"/>
        </w:rPr>
      </w:pPr>
    </w:p>
    <w:p w:rsidR="00865B0C" w:rsidRPr="00027D1F" w:rsidRDefault="00865B0C" w:rsidP="005A0BAC">
      <w:pPr>
        <w:spacing w:after="0" w:line="240" w:lineRule="auto"/>
        <w:jc w:val="both"/>
        <w:textAlignment w:val="baseline"/>
        <w:rPr>
          <w:rFonts w:ascii="Gothic720 BT" w:eastAsia="Times New Roman" w:hAnsi="Gothic720 BT" w:cs="Times New Roman"/>
          <w:lang w:val="es-ES" w:eastAsia="es-MX"/>
        </w:rPr>
      </w:pPr>
      <w:r w:rsidRPr="00027D1F">
        <w:rPr>
          <w:rFonts w:ascii="Gothic720 BT" w:eastAsia="Times New Roman" w:hAnsi="Gothic720 BT" w:cs="Times New Roman"/>
          <w:lang w:val="es-ES" w:eastAsia="es-MX"/>
        </w:rPr>
        <w:t xml:space="preserve">Santiago de Querétaro, Querétaro, </w:t>
      </w:r>
      <w:r w:rsidR="00340AA2" w:rsidRPr="00027D1F">
        <w:rPr>
          <w:rFonts w:ascii="Gothic720 BT" w:eastAsia="Times New Roman" w:hAnsi="Gothic720 BT" w:cs="Times New Roman"/>
          <w:lang w:val="es-ES" w:eastAsia="es-MX"/>
        </w:rPr>
        <w:t>veinti</w:t>
      </w:r>
      <w:r w:rsidR="002830B9" w:rsidRPr="00027D1F">
        <w:rPr>
          <w:rFonts w:ascii="Gothic720 BT" w:eastAsia="Times New Roman" w:hAnsi="Gothic720 BT" w:cs="Times New Roman"/>
          <w:lang w:val="es-ES" w:eastAsia="es-MX"/>
        </w:rPr>
        <w:t>siete</w:t>
      </w:r>
      <w:r w:rsidRPr="00027D1F">
        <w:rPr>
          <w:rFonts w:ascii="Gothic720 BT" w:eastAsia="Times New Roman" w:hAnsi="Gothic720 BT" w:cs="Times New Roman"/>
          <w:lang w:val="es-ES" w:eastAsia="es-MX"/>
        </w:rPr>
        <w:t xml:space="preserve"> de enero de dos mil veintiuno.</w:t>
      </w:r>
    </w:p>
    <w:p w:rsidR="00865B0C" w:rsidRPr="00027D1F" w:rsidRDefault="00865B0C" w:rsidP="005A0BAC">
      <w:pPr>
        <w:spacing w:after="0" w:line="240" w:lineRule="auto"/>
        <w:jc w:val="both"/>
        <w:textAlignment w:val="baseline"/>
        <w:rPr>
          <w:rFonts w:ascii="Gothic720 BT" w:eastAsia="Times New Roman" w:hAnsi="Gothic720 BT" w:cs="Times New Roman"/>
          <w:b/>
          <w:bCs/>
          <w:lang w:val="es-ES" w:eastAsia="es-MX"/>
        </w:rPr>
      </w:pPr>
    </w:p>
    <w:p w:rsidR="00865B0C" w:rsidRPr="00027D1F" w:rsidRDefault="00865B0C" w:rsidP="005A0BAC">
      <w:pPr>
        <w:spacing w:after="0" w:line="240" w:lineRule="auto"/>
        <w:jc w:val="both"/>
        <w:textAlignment w:val="baseline"/>
        <w:rPr>
          <w:rFonts w:ascii="Gothic720 BT" w:eastAsia="Times New Roman" w:hAnsi="Gothic720 BT" w:cs="Times New Roman"/>
          <w:bCs/>
          <w:lang w:eastAsia="es-MX"/>
        </w:rPr>
      </w:pPr>
      <w:r w:rsidRPr="00027D1F">
        <w:rPr>
          <w:rFonts w:ascii="Gothic720 BT" w:eastAsia="Times New Roman" w:hAnsi="Gothic720 BT" w:cs="Times New Roman"/>
          <w:b/>
          <w:bCs/>
          <w:lang w:val="es-ES" w:eastAsia="es-MX"/>
        </w:rPr>
        <w:t xml:space="preserve">VISTO </w:t>
      </w:r>
      <w:r w:rsidR="002830B9" w:rsidRPr="00027D1F">
        <w:rPr>
          <w:rFonts w:ascii="Gothic720 BT" w:eastAsia="Times New Roman" w:hAnsi="Gothic720 BT" w:cs="Times New Roman"/>
          <w:bCs/>
          <w:lang w:val="es-ES" w:eastAsia="es-MX"/>
        </w:rPr>
        <w:t xml:space="preserve">el estado procesal del expediente al rubro citado y con fundamento en los artículos 77, fracción V y 227 de la Ley Electoral del Estado de Querétaro, así como 44, fracción II, del Reglamento Interior del Instituto; la Dirección Ejecutiva de Asuntos Jurídicos </w:t>
      </w:r>
      <w:r w:rsidR="002830B9" w:rsidRPr="00027D1F">
        <w:rPr>
          <w:rFonts w:ascii="Gothic720 BT" w:eastAsia="Times New Roman" w:hAnsi="Gothic720 BT" w:cs="Times New Roman"/>
          <w:b/>
          <w:bCs/>
          <w:lang w:val="es-ES" w:eastAsia="es-MX"/>
        </w:rPr>
        <w:t>ACUERDA</w:t>
      </w:r>
      <w:r w:rsidR="005D6F00">
        <w:rPr>
          <w:rFonts w:ascii="Gothic720 BT" w:eastAsia="Times New Roman" w:hAnsi="Gothic720 BT" w:cs="Times New Roman"/>
          <w:b/>
          <w:bCs/>
          <w:lang w:val="es-ES" w:eastAsia="es-MX"/>
        </w:rPr>
        <w:t>:</w:t>
      </w:r>
    </w:p>
    <w:p w:rsidR="0068591E" w:rsidRPr="00027D1F" w:rsidRDefault="0068591E" w:rsidP="0068591E">
      <w:pPr>
        <w:spacing w:after="0" w:line="240" w:lineRule="auto"/>
        <w:jc w:val="both"/>
        <w:textAlignment w:val="baseline"/>
        <w:rPr>
          <w:rFonts w:ascii="Gothic720 BT" w:eastAsia="Times New Roman" w:hAnsi="Gothic720 BT" w:cs="Times New Roman"/>
          <w:bCs/>
          <w:lang w:val="es-ES" w:eastAsia="es-MX"/>
        </w:rPr>
      </w:pPr>
    </w:p>
    <w:p w:rsidR="0068591E" w:rsidRPr="00027D1F" w:rsidRDefault="00027D1F" w:rsidP="0068591E">
      <w:pPr>
        <w:spacing w:after="0" w:line="240" w:lineRule="auto"/>
        <w:jc w:val="both"/>
        <w:textAlignment w:val="baseline"/>
        <w:rPr>
          <w:rFonts w:ascii="Gothic720 BT" w:eastAsia="Times New Roman" w:hAnsi="Gothic720 BT" w:cs="Times New Roman"/>
          <w:bCs/>
          <w:lang w:val="es-ES" w:eastAsia="es-MX"/>
        </w:rPr>
      </w:pPr>
      <w:r w:rsidRPr="00027D1F">
        <w:rPr>
          <w:rFonts w:ascii="Gothic720 BT" w:eastAsia="Times New Roman" w:hAnsi="Gothic720 BT" w:cs="Times New Roman"/>
          <w:b/>
          <w:bCs/>
          <w:lang w:val="es-ES" w:eastAsia="es-MX"/>
        </w:rPr>
        <w:t>ÚNICO</w:t>
      </w:r>
      <w:r w:rsidR="0068591E" w:rsidRPr="00027D1F">
        <w:rPr>
          <w:rFonts w:ascii="Gothic720 BT" w:eastAsia="Times New Roman" w:hAnsi="Gothic720 BT" w:cs="Times New Roman"/>
          <w:b/>
          <w:bCs/>
          <w:lang w:val="es-ES" w:eastAsia="es-MX"/>
        </w:rPr>
        <w:t xml:space="preserve">. ARCHIVO. </w:t>
      </w:r>
      <w:r w:rsidR="0068591E" w:rsidRPr="00027D1F">
        <w:rPr>
          <w:rFonts w:ascii="Gothic720 BT" w:eastAsia="Times New Roman" w:hAnsi="Gothic720 BT" w:cs="Times New Roman"/>
          <w:bCs/>
          <w:lang w:val="es-ES" w:eastAsia="es-MX"/>
        </w:rPr>
        <w:t>Derivado del estado procesal en que se encuentra el expediente al rubro citado y toda vez que se está completamente concluido, se ordena remitir al archivo, para los efectos legales a que haya lugar.</w:t>
      </w:r>
    </w:p>
    <w:p w:rsidR="0068591E" w:rsidRPr="00027D1F" w:rsidRDefault="0068591E" w:rsidP="0068591E">
      <w:pPr>
        <w:spacing w:after="0" w:line="240" w:lineRule="auto"/>
        <w:jc w:val="both"/>
        <w:textAlignment w:val="baseline"/>
        <w:rPr>
          <w:rFonts w:ascii="Gothic720 BT" w:eastAsia="Times New Roman" w:hAnsi="Gothic720 BT" w:cs="Times New Roman"/>
          <w:bCs/>
          <w:lang w:val="es-ES" w:eastAsia="es-MX"/>
        </w:rPr>
      </w:pPr>
    </w:p>
    <w:p w:rsidR="0068591E" w:rsidRPr="00027D1F" w:rsidRDefault="0068591E" w:rsidP="0068591E">
      <w:pPr>
        <w:tabs>
          <w:tab w:val="left" w:pos="6379"/>
        </w:tabs>
        <w:jc w:val="both"/>
        <w:rPr>
          <w:rFonts w:ascii="Gothic720 BT" w:eastAsia="Times New Roman" w:hAnsi="Gothic720 BT" w:cs="Times New Roman"/>
          <w:color w:val="000000"/>
          <w:lang w:val="es-ES" w:eastAsia="es-MX"/>
        </w:rPr>
      </w:pPr>
      <w:r w:rsidRPr="00027D1F">
        <w:rPr>
          <w:rFonts w:ascii="Gothic720 BT" w:hAnsi="Gothic720 BT" w:cstheme="minorHAnsi"/>
          <w:b/>
          <w:lang w:eastAsia="es-ES"/>
        </w:rPr>
        <w:t>Notifíquese por estrados a las partes, con fundamento en los artículos 3 de la Ley Electoral; 48 fracción II, 50 y 56, fracción II de la Ley de Medios.</w:t>
      </w:r>
    </w:p>
    <w:p w:rsidR="0068591E" w:rsidRPr="00027D1F" w:rsidRDefault="0068591E" w:rsidP="0068591E">
      <w:pPr>
        <w:spacing w:after="0" w:line="240" w:lineRule="auto"/>
        <w:jc w:val="both"/>
        <w:textAlignment w:val="baseline"/>
        <w:rPr>
          <w:rFonts w:ascii="Gothic720 BT" w:eastAsia="Times New Roman" w:hAnsi="Gothic720 BT" w:cs="Times New Roman"/>
          <w:color w:val="000000"/>
          <w:lang w:val="es-ES" w:eastAsia="es-MX"/>
        </w:rPr>
      </w:pPr>
      <w:r w:rsidRPr="00027D1F">
        <w:rPr>
          <w:rFonts w:ascii="Gothic720 BT" w:eastAsia="Times New Roman" w:hAnsi="Gothic720 BT" w:cs="Times New Roman"/>
          <w:color w:val="000000"/>
          <w:lang w:val="es-ES" w:eastAsia="es-MX"/>
        </w:rPr>
        <w:t xml:space="preserve">Así lo proveyó y firmó el Director Ejecutivo de Asuntos Jurídicos. </w:t>
      </w:r>
      <w:r w:rsidRPr="00027D1F">
        <w:rPr>
          <w:rFonts w:ascii="Gothic720 BT" w:eastAsia="Times New Roman" w:hAnsi="Gothic720 BT" w:cs="Times New Roman"/>
          <w:b/>
          <w:bCs/>
          <w:color w:val="000000"/>
          <w:lang w:val="es-ES" w:eastAsia="es-MX"/>
        </w:rPr>
        <w:t>CONSTE</w:t>
      </w:r>
      <w:r w:rsidRPr="00027D1F">
        <w:rPr>
          <w:rFonts w:ascii="Gothic720 BT" w:eastAsia="Times New Roman" w:hAnsi="Gothic720 BT" w:cs="Times New Roman"/>
          <w:color w:val="000000"/>
          <w:lang w:val="es-ES" w:eastAsia="es-MX"/>
        </w:rPr>
        <w:t>.  </w:t>
      </w:r>
    </w:p>
    <w:p w:rsidR="0068591E" w:rsidRDefault="0068591E" w:rsidP="0068591E">
      <w:pPr>
        <w:spacing w:after="0" w:line="240" w:lineRule="auto"/>
        <w:jc w:val="both"/>
        <w:textAlignment w:val="baseline"/>
        <w:rPr>
          <w:rFonts w:ascii="Gothic720 BT" w:eastAsia="Times New Roman" w:hAnsi="Gothic720 BT" w:cs="Times New Roman"/>
          <w:b/>
          <w:bCs/>
          <w:lang w:eastAsia="es-MX"/>
        </w:rPr>
      </w:pPr>
    </w:p>
    <w:p w:rsidR="00D2163D" w:rsidRDefault="00D2163D" w:rsidP="0068591E">
      <w:pPr>
        <w:spacing w:after="0" w:line="240" w:lineRule="auto"/>
        <w:jc w:val="both"/>
        <w:textAlignment w:val="baseline"/>
        <w:rPr>
          <w:rFonts w:ascii="Gothic720 BT" w:eastAsia="Times New Roman" w:hAnsi="Gothic720 BT" w:cs="Times New Roman"/>
          <w:b/>
          <w:bCs/>
          <w:lang w:eastAsia="es-MX"/>
        </w:rPr>
      </w:pPr>
    </w:p>
    <w:p w:rsidR="00D2163D" w:rsidRPr="00027D1F" w:rsidRDefault="00D2163D" w:rsidP="0068591E">
      <w:pPr>
        <w:spacing w:after="0" w:line="240" w:lineRule="auto"/>
        <w:jc w:val="both"/>
        <w:textAlignment w:val="baseline"/>
        <w:rPr>
          <w:rFonts w:ascii="Gothic720 BT" w:eastAsia="Times New Roman" w:hAnsi="Gothic720 BT" w:cs="Times New Roman"/>
          <w:b/>
          <w:bCs/>
          <w:lang w:eastAsia="es-MX"/>
        </w:rPr>
      </w:pPr>
    </w:p>
    <w:p w:rsidR="0068591E" w:rsidRPr="00027D1F" w:rsidRDefault="0068591E" w:rsidP="0068591E">
      <w:pPr>
        <w:spacing w:after="0" w:line="240" w:lineRule="auto"/>
        <w:jc w:val="both"/>
        <w:textAlignment w:val="baseline"/>
        <w:rPr>
          <w:rFonts w:ascii="Gothic720 BT" w:eastAsia="Times New Roman" w:hAnsi="Gothic720 BT" w:cs="Times New Roman"/>
          <w:b/>
          <w:bCs/>
          <w:lang w:eastAsia="es-MX"/>
        </w:rPr>
      </w:pPr>
    </w:p>
    <w:p w:rsidR="0068591E" w:rsidRPr="00027D1F" w:rsidRDefault="0068591E" w:rsidP="0068591E">
      <w:pPr>
        <w:spacing w:after="0" w:line="240" w:lineRule="auto"/>
        <w:jc w:val="center"/>
        <w:textAlignment w:val="baseline"/>
        <w:rPr>
          <w:rFonts w:ascii="Gothic720 BT" w:eastAsia="Times New Roman" w:hAnsi="Gothic720 BT" w:cs="Times New Roman"/>
          <w:lang w:val="es-ES" w:eastAsia="es-MX"/>
        </w:rPr>
      </w:pPr>
      <w:r w:rsidRPr="00027D1F">
        <w:rPr>
          <w:rFonts w:ascii="Gothic720 BT" w:eastAsia="Times New Roman" w:hAnsi="Gothic720 BT" w:cs="Times New Roman"/>
          <w:b/>
          <w:bCs/>
          <w:lang w:eastAsia="es-MX"/>
        </w:rPr>
        <w:t>Dr. Juan Rivera Hernández</w:t>
      </w:r>
    </w:p>
    <w:p w:rsidR="0068591E" w:rsidRPr="00027D1F" w:rsidRDefault="0068591E" w:rsidP="0068591E">
      <w:pPr>
        <w:spacing w:after="0" w:line="240" w:lineRule="auto"/>
        <w:jc w:val="center"/>
        <w:textAlignment w:val="baseline"/>
        <w:rPr>
          <w:rFonts w:ascii="Gothic720 BT" w:eastAsia="Times New Roman" w:hAnsi="Gothic720 BT" w:cs="Times New Roman"/>
          <w:lang w:eastAsia="es-MX"/>
        </w:rPr>
      </w:pPr>
      <w:r w:rsidRPr="00027D1F">
        <w:rPr>
          <w:rFonts w:ascii="Gothic720 BT" w:eastAsia="Times New Roman" w:hAnsi="Gothic720 BT" w:cs="Times New Roman"/>
          <w:lang w:eastAsia="es-MX"/>
        </w:rPr>
        <w:t>Director Ejecutivo de Asuntos Jurídicos</w:t>
      </w:r>
    </w:p>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tblGrid>
      <w:tr w:rsidR="0068591E" w:rsidRPr="00027D1F" w:rsidTr="00D2163D">
        <w:trPr>
          <w:trHeight w:val="3637"/>
        </w:trPr>
        <w:tc>
          <w:tcPr>
            <w:tcW w:w="4871" w:type="dxa"/>
          </w:tcPr>
          <w:p w:rsidR="00027D1F" w:rsidRPr="00027D1F" w:rsidRDefault="00027D1F" w:rsidP="00027D1F">
            <w:pPr>
              <w:rPr>
                <w:rFonts w:ascii="Gothic720 BT" w:hAnsi="Gothic720 BT"/>
                <w:b/>
              </w:rPr>
            </w:pPr>
            <w:r w:rsidRPr="00027D1F">
              <w:rPr>
                <w:rFonts w:ascii="Gothic720 BT" w:hAnsi="Gothic720 BT"/>
                <w:b/>
              </w:rPr>
              <w:lastRenderedPageBreak/>
              <w:t>PROCEDIMIENTO ORDINARIO SANCIONADOR</w:t>
            </w:r>
          </w:p>
          <w:p w:rsidR="00027D1F" w:rsidRPr="00027D1F" w:rsidRDefault="00027D1F" w:rsidP="00027D1F">
            <w:pPr>
              <w:rPr>
                <w:rFonts w:ascii="Gothic720 BT" w:hAnsi="Gothic720 BT"/>
                <w:b/>
              </w:rPr>
            </w:pPr>
          </w:p>
          <w:p w:rsidR="00027D1F" w:rsidRPr="00027D1F" w:rsidRDefault="00027D1F" w:rsidP="00027D1F">
            <w:pPr>
              <w:rPr>
                <w:rFonts w:ascii="Gothic720 BT" w:hAnsi="Gothic720 BT"/>
              </w:rPr>
            </w:pPr>
            <w:r w:rsidRPr="00027D1F">
              <w:rPr>
                <w:rFonts w:ascii="Gothic720 BT" w:hAnsi="Gothic720 BT"/>
                <w:b/>
              </w:rPr>
              <w:t>EXPEDIENTE:</w:t>
            </w:r>
            <w:r w:rsidRPr="00027D1F">
              <w:rPr>
                <w:rFonts w:ascii="Gothic720 BT" w:hAnsi="Gothic720 BT"/>
              </w:rPr>
              <w:t xml:space="preserve"> IEEQ/POS/002/2019-P Y SU ACUMULADO IEEQ/POS/003/2019-P.</w:t>
            </w:r>
          </w:p>
          <w:p w:rsidR="00027D1F" w:rsidRPr="00027D1F" w:rsidRDefault="00027D1F" w:rsidP="00027D1F">
            <w:pPr>
              <w:rPr>
                <w:rFonts w:ascii="Gothic720 BT" w:hAnsi="Gothic720 BT"/>
              </w:rPr>
            </w:pPr>
          </w:p>
          <w:p w:rsidR="00027D1F" w:rsidRPr="00027D1F" w:rsidRDefault="00027D1F" w:rsidP="00027D1F">
            <w:pPr>
              <w:jc w:val="both"/>
              <w:rPr>
                <w:rFonts w:ascii="Gothic720 BT" w:hAnsi="Gothic720 BT"/>
              </w:rPr>
            </w:pPr>
            <w:r w:rsidRPr="00027D1F">
              <w:rPr>
                <w:rFonts w:ascii="Gothic720 BT" w:hAnsi="Gothic720 BT"/>
                <w:b/>
              </w:rPr>
              <w:t>DENUNCIADOS:</w:t>
            </w:r>
            <w:r w:rsidRPr="00027D1F">
              <w:rPr>
                <w:rFonts w:ascii="Gothic720 BT" w:hAnsi="Gothic720 BT"/>
              </w:rPr>
              <w:t xml:space="preserve"> </w:t>
            </w:r>
            <w:r w:rsidR="00D2163D">
              <w:rPr>
                <w:rFonts w:ascii="Gothic720 BT" w:hAnsi="Gothic720 BT"/>
              </w:rPr>
              <w:t>PARTIDO ACCIÓN NACIONAL Y OTROS</w:t>
            </w:r>
          </w:p>
          <w:p w:rsidR="00027D1F" w:rsidRPr="00027D1F" w:rsidRDefault="00027D1F" w:rsidP="00027D1F">
            <w:pPr>
              <w:rPr>
                <w:rFonts w:ascii="Gothic720 BT" w:hAnsi="Gothic720 BT"/>
              </w:rPr>
            </w:pPr>
          </w:p>
          <w:p w:rsidR="0068591E" w:rsidRPr="00027D1F" w:rsidRDefault="00027D1F" w:rsidP="00027D1F">
            <w:pPr>
              <w:jc w:val="both"/>
              <w:rPr>
                <w:rFonts w:ascii="Gothic720 BT" w:hAnsi="Gothic720 BT"/>
                <w:b/>
              </w:rPr>
            </w:pPr>
            <w:r w:rsidRPr="00027D1F">
              <w:rPr>
                <w:rFonts w:ascii="Gothic720 BT" w:hAnsi="Gothic720 BT"/>
                <w:b/>
              </w:rPr>
              <w:t>ASUNTO:</w:t>
            </w:r>
            <w:r w:rsidRPr="00027D1F">
              <w:rPr>
                <w:rFonts w:ascii="Gothic720 BT" w:hAnsi="Gothic720 BT"/>
              </w:rPr>
              <w:t xml:space="preserve"> SE REMITE A ARCHIVO.</w:t>
            </w:r>
          </w:p>
        </w:tc>
      </w:tr>
    </w:tbl>
    <w:p w:rsidR="0068591E" w:rsidRPr="00027D1F" w:rsidRDefault="0068591E" w:rsidP="0068591E">
      <w:pPr>
        <w:spacing w:after="0"/>
        <w:jc w:val="both"/>
        <w:rPr>
          <w:rFonts w:ascii="Gothic720 BT" w:hAnsi="Gothic720 BT"/>
        </w:rPr>
      </w:pPr>
    </w:p>
    <w:p w:rsidR="0068591E" w:rsidRPr="00027D1F" w:rsidRDefault="0068591E" w:rsidP="0068591E">
      <w:pPr>
        <w:spacing w:after="0"/>
        <w:ind w:left="709"/>
        <w:jc w:val="both"/>
        <w:rPr>
          <w:rFonts w:ascii="Gothic720 BT" w:hAnsi="Gothic720 BT" w:cs="Arial"/>
        </w:rPr>
      </w:pPr>
      <w:r w:rsidRPr="00027D1F">
        <w:rPr>
          <w:rFonts w:ascii="Gothic720 BT" w:hAnsi="Gothic720 BT" w:cs="Arial"/>
        </w:rPr>
        <w:t xml:space="preserve">En Santiago de Querétaro, Querétaro, siendo las </w:t>
      </w:r>
      <w:r w:rsidR="00027D1F" w:rsidRPr="00027D1F">
        <w:rPr>
          <w:rFonts w:ascii="Gothic720 BT" w:hAnsi="Gothic720 BT" w:cs="Arial"/>
        </w:rPr>
        <w:t>catorce</w:t>
      </w:r>
      <w:r w:rsidRPr="00027D1F">
        <w:rPr>
          <w:rFonts w:ascii="Gothic720 BT" w:hAnsi="Gothic720 BT" w:cs="Arial"/>
        </w:rPr>
        <w:t xml:space="preserve"> horas del </w:t>
      </w:r>
      <w:r w:rsidR="00027D1F" w:rsidRPr="00027D1F">
        <w:rPr>
          <w:rFonts w:ascii="Gothic720 BT" w:hAnsi="Gothic720 BT" w:cs="Arial"/>
        </w:rPr>
        <w:t>veintisiete</w:t>
      </w:r>
      <w:r w:rsidRPr="00027D1F">
        <w:rPr>
          <w:rFonts w:ascii="Gothic720 BT" w:hAnsi="Gothic720 BT" w:cs="Arial"/>
        </w:rPr>
        <w:t xml:space="preserve"> de enero de dos mil veintiuno, en cumplimiento a lo ordenado en el proveído dictado en misma fecha, con fundamento en los artículos 48 fracción II, 50 y 56, fracción II de la Ley de Medios de Impugnación en Materia Electoral del Estado de Querétaro vigente al momento de su tramitación, se </w:t>
      </w:r>
      <w:r w:rsidRPr="00027D1F">
        <w:rPr>
          <w:rFonts w:ascii="Gothic720 BT" w:hAnsi="Gothic720 BT" w:cs="Arial"/>
          <w:b/>
        </w:rPr>
        <w:t xml:space="preserve">NOTIFICA </w:t>
      </w:r>
      <w:r w:rsidRPr="00027D1F">
        <w:rPr>
          <w:rFonts w:ascii="Gothic720 BT" w:hAnsi="Gothic720 BT" w:cs="Arial"/>
        </w:rPr>
        <w:t xml:space="preserve">el contenido del proveído de mérito que consta de una foja, mediante cédula que se fija en los </w:t>
      </w:r>
      <w:r w:rsidRPr="00027D1F">
        <w:rPr>
          <w:rFonts w:ascii="Gothic720 BT" w:hAnsi="Gothic720 BT" w:cs="Arial"/>
          <w:b/>
        </w:rPr>
        <w:t>ESTRADOS</w:t>
      </w:r>
      <w:r w:rsidRPr="00027D1F">
        <w:rPr>
          <w:rFonts w:ascii="Gothic720 BT" w:hAnsi="Gothic720 BT" w:cs="Arial"/>
        </w:rPr>
        <w:t xml:space="preserve"> de este Consejo General de este Instituto Electoral del Estado de Querétaro, anexando copia del mismo. </w:t>
      </w:r>
      <w:r w:rsidRPr="00027D1F">
        <w:rPr>
          <w:rFonts w:ascii="Gothic720 BT" w:hAnsi="Gothic720 BT" w:cs="Arial"/>
          <w:b/>
        </w:rPr>
        <w:t>CONSTE</w:t>
      </w:r>
      <w:r w:rsidRPr="00027D1F">
        <w:rPr>
          <w:rFonts w:ascii="Gothic720 BT" w:hAnsi="Gothic720 BT" w:cs="Arial"/>
        </w:rPr>
        <w:t xml:space="preserve">. </w:t>
      </w:r>
    </w:p>
    <w:p w:rsidR="0068591E" w:rsidRPr="00027D1F" w:rsidRDefault="0068591E" w:rsidP="0068591E">
      <w:pPr>
        <w:spacing w:after="0"/>
        <w:ind w:left="709"/>
        <w:jc w:val="both"/>
        <w:rPr>
          <w:rFonts w:ascii="Gothic720 BT" w:hAnsi="Gothic720 BT" w:cs="Arial"/>
        </w:rPr>
      </w:pPr>
    </w:p>
    <w:p w:rsidR="0068591E" w:rsidRPr="00027D1F" w:rsidRDefault="0068591E" w:rsidP="0068591E">
      <w:pPr>
        <w:spacing w:after="0"/>
        <w:ind w:left="709"/>
        <w:jc w:val="both"/>
        <w:rPr>
          <w:rFonts w:ascii="Gothic720 BT" w:hAnsi="Gothic720 BT" w:cs="Arial"/>
        </w:rPr>
      </w:pPr>
      <w:bookmarkStart w:id="0" w:name="_GoBack"/>
      <w:bookmarkEnd w:id="0"/>
    </w:p>
    <w:p w:rsidR="0068591E" w:rsidRPr="00027D1F" w:rsidRDefault="0068591E" w:rsidP="0068591E">
      <w:pPr>
        <w:spacing w:after="0"/>
        <w:ind w:left="709"/>
        <w:jc w:val="both"/>
        <w:rPr>
          <w:rFonts w:ascii="Gothic720 BT" w:hAnsi="Gothic720 BT" w:cs="Arial"/>
        </w:rPr>
      </w:pPr>
    </w:p>
    <w:p w:rsidR="0068591E" w:rsidRPr="00027D1F" w:rsidRDefault="0068591E" w:rsidP="0068591E">
      <w:pPr>
        <w:spacing w:after="0"/>
        <w:ind w:left="709"/>
        <w:jc w:val="both"/>
        <w:rPr>
          <w:rFonts w:ascii="Gothic720 BT" w:hAnsi="Gothic720 BT" w:cs="Arial"/>
        </w:rPr>
      </w:pPr>
    </w:p>
    <w:p w:rsidR="0068591E" w:rsidRPr="00027D1F" w:rsidRDefault="0068591E" w:rsidP="0068591E">
      <w:pPr>
        <w:spacing w:after="0"/>
        <w:ind w:left="709"/>
        <w:jc w:val="center"/>
        <w:rPr>
          <w:rFonts w:ascii="Gothic720 BT" w:hAnsi="Gothic720 BT" w:cs="Arial"/>
          <w:b/>
        </w:rPr>
      </w:pPr>
      <w:r w:rsidRPr="00027D1F">
        <w:rPr>
          <w:rFonts w:ascii="Gothic720 BT" w:hAnsi="Gothic720 BT" w:cs="Arial"/>
          <w:b/>
        </w:rPr>
        <w:t>Dr. Juan Rivera Hernández</w:t>
      </w:r>
    </w:p>
    <w:p w:rsidR="00865B0C" w:rsidRPr="00027D1F" w:rsidRDefault="0068591E" w:rsidP="0068591E">
      <w:pPr>
        <w:spacing w:after="0"/>
        <w:ind w:left="709"/>
        <w:jc w:val="center"/>
        <w:rPr>
          <w:rFonts w:ascii="Gothic720 BT" w:eastAsia="Times New Roman" w:hAnsi="Gothic720 BT" w:cs="Times New Roman"/>
          <w:lang w:eastAsia="es-MX"/>
        </w:rPr>
      </w:pPr>
      <w:r w:rsidRPr="00027D1F">
        <w:rPr>
          <w:rFonts w:ascii="Gothic720 BT" w:hAnsi="Gothic720 BT" w:cs="Arial"/>
        </w:rPr>
        <w:t>Director Ejecutivo de Asuntos Jurídicos</w:t>
      </w:r>
    </w:p>
    <w:p w:rsidR="00A3665A" w:rsidRPr="00027D1F" w:rsidRDefault="00F0240F" w:rsidP="00027D1F">
      <w:pPr>
        <w:jc w:val="center"/>
        <w:rPr>
          <w:rFonts w:ascii="Gothic720 BT" w:eastAsia="Times New Roman" w:hAnsi="Gothic720 BT" w:cs="Times New Roman"/>
          <w:lang w:eastAsia="es-MX"/>
        </w:rPr>
      </w:pPr>
    </w:p>
    <w:sectPr w:rsidR="00A3665A" w:rsidRPr="00027D1F" w:rsidSect="006A7ED1">
      <w:pgSz w:w="12240" w:h="15840"/>
      <w:pgMar w:top="1985"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0F" w:rsidRDefault="00F0240F" w:rsidP="00865B0C">
      <w:pPr>
        <w:spacing w:after="0" w:line="240" w:lineRule="auto"/>
      </w:pPr>
      <w:r>
        <w:separator/>
      </w:r>
    </w:p>
  </w:endnote>
  <w:endnote w:type="continuationSeparator" w:id="0">
    <w:p w:rsidR="00F0240F" w:rsidRDefault="00F0240F" w:rsidP="0086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0F" w:rsidRDefault="00F0240F" w:rsidP="00865B0C">
      <w:pPr>
        <w:spacing w:after="0" w:line="240" w:lineRule="auto"/>
      </w:pPr>
      <w:r>
        <w:separator/>
      </w:r>
    </w:p>
  </w:footnote>
  <w:footnote w:type="continuationSeparator" w:id="0">
    <w:p w:rsidR="00F0240F" w:rsidRDefault="00F0240F" w:rsidP="00865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4CAF"/>
    <w:multiLevelType w:val="hybridMultilevel"/>
    <w:tmpl w:val="326E1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3531B7"/>
    <w:multiLevelType w:val="hybridMultilevel"/>
    <w:tmpl w:val="326E1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0C"/>
    <w:rsid w:val="00027D1F"/>
    <w:rsid w:val="000B184E"/>
    <w:rsid w:val="000B34AC"/>
    <w:rsid w:val="0011724E"/>
    <w:rsid w:val="00174F1C"/>
    <w:rsid w:val="0022104C"/>
    <w:rsid w:val="00282738"/>
    <w:rsid w:val="002830B9"/>
    <w:rsid w:val="00340AA2"/>
    <w:rsid w:val="004360D8"/>
    <w:rsid w:val="004A5A2C"/>
    <w:rsid w:val="004B4BB9"/>
    <w:rsid w:val="0058389C"/>
    <w:rsid w:val="005A0BAC"/>
    <w:rsid w:val="005D6F00"/>
    <w:rsid w:val="0068591E"/>
    <w:rsid w:val="006A7ED1"/>
    <w:rsid w:val="006D0523"/>
    <w:rsid w:val="008328AC"/>
    <w:rsid w:val="00865B0C"/>
    <w:rsid w:val="00880B3B"/>
    <w:rsid w:val="0095610A"/>
    <w:rsid w:val="009922CA"/>
    <w:rsid w:val="00A2316E"/>
    <w:rsid w:val="00A6202B"/>
    <w:rsid w:val="00AD5A02"/>
    <w:rsid w:val="00AF7F1C"/>
    <w:rsid w:val="00CA34AF"/>
    <w:rsid w:val="00D00E89"/>
    <w:rsid w:val="00D0381B"/>
    <w:rsid w:val="00D2163D"/>
    <w:rsid w:val="00DC2CD7"/>
    <w:rsid w:val="00F02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198A"/>
  <w15:docId w15:val="{783DFBF2-6B7F-4EA8-B408-EF9CBC4E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5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865B0C"/>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865B0C"/>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865B0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65B0C"/>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865B0C"/>
    <w:pPr>
      <w:ind w:left="720"/>
      <w:contextualSpacing/>
    </w:pPr>
  </w:style>
  <w:style w:type="character" w:customStyle="1" w:styleId="PrrafodelistaCar">
    <w:name w:val="Párrafo de lista Car"/>
    <w:aliases w:val="CNBV Parrafo1 Car,Párrafo de lista1 Car"/>
    <w:link w:val="Prrafodelista"/>
    <w:uiPriority w:val="34"/>
    <w:qFormat/>
    <w:locked/>
    <w:rsid w:val="00865B0C"/>
  </w:style>
  <w:style w:type="paragraph" w:styleId="Textodeglobo">
    <w:name w:val="Balloon Text"/>
    <w:basedOn w:val="Normal"/>
    <w:link w:val="TextodegloboCar"/>
    <w:uiPriority w:val="99"/>
    <w:semiHidden/>
    <w:unhideWhenUsed/>
    <w:rsid w:val="005A0B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E5EA-03DF-4A14-8CC4-8A5E5888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Stephanya.Cadillo</cp:lastModifiedBy>
  <cp:revision>11</cp:revision>
  <cp:lastPrinted>2021-01-27T18:52:00Z</cp:lastPrinted>
  <dcterms:created xsi:type="dcterms:W3CDTF">2021-01-13T17:12:00Z</dcterms:created>
  <dcterms:modified xsi:type="dcterms:W3CDTF">2021-01-27T19:08:00Z</dcterms:modified>
</cp:coreProperties>
</file>