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dxa"/>
        <w:jc w:val="right"/>
        <w:tblInd w:w="-4427" w:type="dxa"/>
        <w:tblLayout w:type="fixed"/>
        <w:tblLook w:val="0400" w:firstRow="0" w:lastRow="0" w:firstColumn="0" w:lastColumn="0" w:noHBand="0" w:noVBand="1"/>
      </w:tblPr>
      <w:tblGrid>
        <w:gridCol w:w="5550"/>
      </w:tblGrid>
      <w:tr w:rsidR="00503A85" w:rsidRPr="00C77D80" w:rsidTr="001D6F24">
        <w:trPr>
          <w:jc w:val="right"/>
        </w:trPr>
        <w:tc>
          <w:tcPr>
            <w:tcW w:w="5550" w:type="dxa"/>
          </w:tcPr>
          <w:p w:rsidR="00503A85" w:rsidRPr="00C77D80" w:rsidRDefault="00503A85" w:rsidP="001D6F24">
            <w:pPr>
              <w:spacing w:after="0"/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PROCEDIMIENTO ORDINARIO SANCIONADOR</w:t>
            </w:r>
          </w:p>
          <w:p w:rsidR="00503A85" w:rsidRPr="00C77D80" w:rsidRDefault="00503A85" w:rsidP="001D6F24">
            <w:pPr>
              <w:spacing w:after="0"/>
              <w:jc w:val="both"/>
              <w:rPr>
                <w:rFonts w:ascii="Gothic720 BT" w:hAnsi="Gothic720 BT"/>
                <w:b/>
              </w:rPr>
            </w:pPr>
          </w:p>
          <w:p w:rsidR="00503A85" w:rsidRPr="00C77D80" w:rsidRDefault="00503A85" w:rsidP="001D6F24">
            <w:pPr>
              <w:spacing w:after="0"/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EXPEDIENTE:</w:t>
            </w:r>
            <w:r>
              <w:rPr>
                <w:rFonts w:ascii="Gothic720 BT" w:hAnsi="Gothic720 BT"/>
              </w:rPr>
              <w:t xml:space="preserve"> IEEQ/POS/004/2020</w:t>
            </w:r>
            <w:r w:rsidRPr="00C77D80">
              <w:rPr>
                <w:rFonts w:ascii="Gothic720 BT" w:hAnsi="Gothic720 BT"/>
              </w:rPr>
              <w:t>-P</w:t>
            </w:r>
          </w:p>
          <w:p w:rsidR="00503A85" w:rsidRPr="00C77D80" w:rsidRDefault="00503A85" w:rsidP="001D6F24">
            <w:pPr>
              <w:spacing w:after="0"/>
              <w:jc w:val="both"/>
              <w:rPr>
                <w:rFonts w:ascii="Gothic720 BT" w:hAnsi="Gothic720 BT"/>
                <w:b/>
              </w:rPr>
            </w:pPr>
          </w:p>
          <w:p w:rsidR="00503A85" w:rsidRPr="00C77D80" w:rsidRDefault="00503A85" w:rsidP="001D6F24">
            <w:pPr>
              <w:spacing w:after="0"/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 xml:space="preserve">DENUNCIANTE: </w:t>
            </w:r>
            <w:r w:rsidRPr="00C77D80">
              <w:rPr>
                <w:rFonts w:ascii="Gothic720 BT" w:hAnsi="Gothic720 BT"/>
              </w:rPr>
              <w:t>PROCEDIMIENTO QUE SE INICIA DE OFICIO CON BASE EN LA VISTA REALIZADA POR EL INSTITUTO NACIONAL ELECTORAL.</w:t>
            </w:r>
          </w:p>
          <w:p w:rsidR="00503A85" w:rsidRPr="00C77D80" w:rsidRDefault="00503A85" w:rsidP="001D6F24">
            <w:pPr>
              <w:spacing w:after="0"/>
              <w:jc w:val="both"/>
              <w:rPr>
                <w:rFonts w:ascii="Gothic720 BT" w:hAnsi="Gothic720 BT"/>
                <w:b/>
              </w:rPr>
            </w:pPr>
          </w:p>
          <w:p w:rsidR="00503A85" w:rsidRPr="00C77D80" w:rsidRDefault="00503A85" w:rsidP="001D6F24">
            <w:pPr>
              <w:spacing w:after="0"/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DENUNCIADO:</w:t>
            </w:r>
            <w:r>
              <w:rPr>
                <w:rFonts w:ascii="Gothic720 BT" w:hAnsi="Gothic720 BT"/>
              </w:rPr>
              <w:t xml:space="preserve"> PARTIDO MOVIMIENTO CIUDADANO.</w:t>
            </w:r>
          </w:p>
          <w:p w:rsidR="00503A85" w:rsidRPr="00C77D80" w:rsidRDefault="00503A85" w:rsidP="001D6F24">
            <w:pPr>
              <w:spacing w:after="0"/>
              <w:jc w:val="both"/>
              <w:rPr>
                <w:rFonts w:ascii="Gothic720 BT" w:hAnsi="Gothic720 BT"/>
                <w:b/>
              </w:rPr>
            </w:pPr>
          </w:p>
          <w:p w:rsidR="00503A85" w:rsidRPr="00C77D80" w:rsidRDefault="00503A85" w:rsidP="001D6F24">
            <w:pPr>
              <w:spacing w:after="0"/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ASUNTO:</w:t>
            </w:r>
            <w:r w:rsidRPr="00C77D80">
              <w:rPr>
                <w:rFonts w:ascii="Gothic720 BT" w:hAnsi="Gothic720 BT"/>
              </w:rPr>
              <w:t xml:space="preserve"> RECEPCIÓN.</w:t>
            </w:r>
          </w:p>
        </w:tc>
      </w:tr>
    </w:tbl>
    <w:p w:rsidR="00503A85" w:rsidRDefault="00503A85" w:rsidP="00503A85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</w:rPr>
      </w:pPr>
    </w:p>
    <w:p w:rsidR="00503A85" w:rsidRPr="00C77D80" w:rsidRDefault="00503A85" w:rsidP="00503A85">
      <w:pPr>
        <w:tabs>
          <w:tab w:val="left" w:pos="0"/>
          <w:tab w:val="left" w:pos="142"/>
        </w:tabs>
        <w:spacing w:after="0"/>
        <w:ind w:left="709"/>
        <w:jc w:val="both"/>
        <w:rPr>
          <w:rFonts w:ascii="Gothic720 BT" w:hAnsi="Gothic720 BT" w:cs="Calibri"/>
        </w:rPr>
      </w:pPr>
      <w:r w:rsidRPr="00C77D80">
        <w:rPr>
          <w:rFonts w:ascii="Gothic720 BT" w:hAnsi="Gothic720 BT" w:cs="Calibri"/>
        </w:rPr>
        <w:t xml:space="preserve">Santiago de Querétaro, Querétaro, </w:t>
      </w:r>
      <w:r>
        <w:rPr>
          <w:rFonts w:ascii="Gothic720 BT" w:hAnsi="Gothic720 BT" w:cs="Calibri"/>
        </w:rPr>
        <w:t xml:space="preserve">veinticinco </w:t>
      </w:r>
      <w:r w:rsidRPr="00C77D80">
        <w:rPr>
          <w:rFonts w:ascii="Gothic720 BT" w:hAnsi="Gothic720 BT" w:cs="Calibri"/>
        </w:rPr>
        <w:t xml:space="preserve">de </w:t>
      </w:r>
      <w:r>
        <w:rPr>
          <w:rFonts w:ascii="Gothic720 BT" w:hAnsi="Gothic720 BT" w:cs="Calibri"/>
        </w:rPr>
        <w:t>febrero de dos mil veintiuno</w:t>
      </w:r>
      <w:r w:rsidRPr="00C77D80">
        <w:rPr>
          <w:rFonts w:ascii="Gothic720 BT" w:hAnsi="Gothic720 BT" w:cs="Calibri"/>
        </w:rPr>
        <w:t>.</w:t>
      </w:r>
      <w:r w:rsidRPr="00C77D80">
        <w:rPr>
          <w:rFonts w:ascii="Gothic720 BT" w:hAnsi="Gothic720 BT" w:cs="Calibri"/>
          <w:vertAlign w:val="superscript"/>
        </w:rPr>
        <w:footnoteReference w:id="1"/>
      </w:r>
    </w:p>
    <w:p w:rsidR="00503A85" w:rsidRPr="00C77D80" w:rsidRDefault="00503A85" w:rsidP="00503A85">
      <w:pPr>
        <w:tabs>
          <w:tab w:val="left" w:pos="0"/>
          <w:tab w:val="left" w:pos="142"/>
          <w:tab w:val="left" w:pos="7655"/>
          <w:tab w:val="left" w:pos="9356"/>
        </w:tabs>
        <w:spacing w:after="0"/>
        <w:ind w:left="709" w:hanging="142"/>
        <w:jc w:val="both"/>
        <w:rPr>
          <w:rFonts w:ascii="Gothic720 BT" w:hAnsi="Gothic720 BT" w:cs="Calibri"/>
        </w:rPr>
      </w:pPr>
    </w:p>
    <w:p w:rsidR="00503A85" w:rsidRPr="00C77D80" w:rsidRDefault="00503A85" w:rsidP="00503A85">
      <w:pPr>
        <w:spacing w:after="0"/>
        <w:ind w:left="709"/>
        <w:jc w:val="both"/>
        <w:rPr>
          <w:rFonts w:ascii="Gothic720 BT" w:hAnsi="Gothic720 BT" w:cs="Calibri"/>
        </w:rPr>
      </w:pPr>
      <w:r w:rsidRPr="00C77D80">
        <w:rPr>
          <w:rFonts w:ascii="Gothic720 BT" w:hAnsi="Gothic720 BT" w:cs="Calibri"/>
          <w:b/>
        </w:rPr>
        <w:t>VISTO</w:t>
      </w:r>
      <w:r w:rsidRPr="00C77D80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>el</w:t>
      </w:r>
      <w:r w:rsidRPr="00C77D80">
        <w:rPr>
          <w:rFonts w:ascii="Gothic720 BT" w:hAnsi="Gothic720 BT"/>
        </w:rPr>
        <w:t xml:space="preserve"> escrito </w:t>
      </w:r>
      <w:r w:rsidRPr="00C77D80">
        <w:rPr>
          <w:rFonts w:ascii="Gothic720 BT" w:hAnsi="Gothic720 BT" w:cs="Calibri"/>
        </w:rPr>
        <w:t>signado por</w:t>
      </w:r>
      <w:r>
        <w:rPr>
          <w:rFonts w:ascii="Gothic720 BT" w:hAnsi="Gothic720 BT" w:cs="Calibri"/>
        </w:rPr>
        <w:t xml:space="preserve"> César Moisés Cadena Romero</w:t>
      </w:r>
      <w:r w:rsidRPr="00C77D80">
        <w:rPr>
          <w:rFonts w:ascii="Gothic720 BT" w:hAnsi="Gothic720 BT" w:cs="Calibri"/>
        </w:rPr>
        <w:t xml:space="preserve">, </w:t>
      </w:r>
      <w:r>
        <w:rPr>
          <w:rFonts w:ascii="Gothic720 BT" w:hAnsi="Gothic720 BT" w:cs="Calibri"/>
        </w:rPr>
        <w:t xml:space="preserve">Delegado Nacional de Movimiento Ciudadano en el Estado de Querétaro, recibido </w:t>
      </w:r>
      <w:r w:rsidRPr="00C77D80">
        <w:rPr>
          <w:rFonts w:ascii="Gothic720 BT" w:hAnsi="Gothic720 BT" w:cs="Calibri"/>
        </w:rPr>
        <w:t>en la Oficialía de Partes del Instituto Electoral del Estado de Querétaro</w:t>
      </w:r>
      <w:r w:rsidRPr="00C77D80">
        <w:rPr>
          <w:rFonts w:ascii="Gothic720 BT" w:hAnsi="Gothic720 BT" w:cs="Calibri"/>
          <w:vertAlign w:val="superscript"/>
        </w:rPr>
        <w:footnoteReference w:id="2"/>
      </w:r>
      <w:r>
        <w:rPr>
          <w:rFonts w:ascii="Gothic720 BT" w:hAnsi="Gothic720 BT" w:cs="Calibri"/>
        </w:rPr>
        <w:t xml:space="preserve"> y </w:t>
      </w:r>
      <w:r w:rsidRPr="00C77D80">
        <w:rPr>
          <w:rFonts w:ascii="Gothic720 BT" w:hAnsi="Gothic720 BT"/>
        </w:rPr>
        <w:t>registrado con</w:t>
      </w:r>
      <w:r>
        <w:rPr>
          <w:rFonts w:ascii="Gothic720 BT" w:hAnsi="Gothic720 BT"/>
        </w:rPr>
        <w:t xml:space="preserve"> el</w:t>
      </w:r>
      <w:r w:rsidRPr="00C77D80">
        <w:rPr>
          <w:rFonts w:ascii="Gothic720 BT" w:hAnsi="Gothic720 BT"/>
        </w:rPr>
        <w:t xml:space="preserve"> folio</w:t>
      </w:r>
      <w:r>
        <w:rPr>
          <w:rFonts w:ascii="Gothic720 BT" w:hAnsi="Gothic720 BT"/>
        </w:rPr>
        <w:t xml:space="preserve"> 0498; </w:t>
      </w:r>
      <w:r w:rsidRPr="00C77D80">
        <w:rPr>
          <w:rFonts w:ascii="Gothic720 BT" w:hAnsi="Gothic720 BT" w:cs="Calibri"/>
        </w:rPr>
        <w:t xml:space="preserve">con fundamento en los artículos 77, fracciones </w:t>
      </w:r>
      <w:r>
        <w:rPr>
          <w:rFonts w:ascii="Gothic720 BT" w:hAnsi="Gothic720 BT" w:cs="Calibri"/>
        </w:rPr>
        <w:t xml:space="preserve">III, </w:t>
      </w:r>
      <w:r w:rsidRPr="00C77D80">
        <w:rPr>
          <w:rFonts w:ascii="Gothic720 BT" w:hAnsi="Gothic720 BT" w:cs="Calibri"/>
        </w:rPr>
        <w:t>V y XIV de la Ley Electoral del Estado de Querétaro,</w:t>
      </w:r>
      <w:r w:rsidRPr="00C77D80">
        <w:rPr>
          <w:rFonts w:ascii="Gothic720 BT" w:hAnsi="Gothic720 BT" w:cs="Calibri"/>
          <w:vertAlign w:val="superscript"/>
        </w:rPr>
        <w:footnoteReference w:id="3"/>
      </w:r>
      <w:r w:rsidRPr="00C77D80">
        <w:rPr>
          <w:rFonts w:ascii="Gothic720 BT" w:hAnsi="Gothic720 BT" w:cs="Calibri"/>
        </w:rPr>
        <w:t xml:space="preserve"> y 45, fracción II, inciso  d) del Reglamento Interior del Instituto; la Dirección Ejecutiva de Asuntos Jurídicos</w:t>
      </w:r>
      <w:r w:rsidRPr="00C77D80">
        <w:rPr>
          <w:rFonts w:ascii="Gothic720 BT" w:hAnsi="Gothic720 BT" w:cs="Calibri"/>
          <w:vertAlign w:val="superscript"/>
        </w:rPr>
        <w:footnoteReference w:id="4"/>
      </w:r>
      <w:r w:rsidRPr="00C77D80">
        <w:rPr>
          <w:rFonts w:ascii="Gothic720 BT" w:hAnsi="Gothic720 BT" w:cs="Calibri"/>
        </w:rPr>
        <w:t xml:space="preserve"> del Instituto </w:t>
      </w:r>
      <w:r w:rsidRPr="00C77D80">
        <w:rPr>
          <w:rFonts w:ascii="Gothic720 BT" w:hAnsi="Gothic720 BT" w:cs="Calibri"/>
          <w:b/>
        </w:rPr>
        <w:t>ACUERDA</w:t>
      </w:r>
      <w:r w:rsidRPr="00C77D80">
        <w:rPr>
          <w:rFonts w:ascii="Gothic720 BT" w:hAnsi="Gothic720 BT" w:cs="Calibri"/>
        </w:rPr>
        <w:t>:</w:t>
      </w:r>
    </w:p>
    <w:p w:rsidR="00503A85" w:rsidRPr="00C77D80" w:rsidRDefault="00503A85" w:rsidP="00503A85">
      <w:pPr>
        <w:spacing w:after="0"/>
        <w:jc w:val="both"/>
        <w:rPr>
          <w:rFonts w:ascii="Gothic720 BT" w:hAnsi="Gothic720 BT" w:cs="Calibri"/>
        </w:rPr>
      </w:pPr>
    </w:p>
    <w:p w:rsidR="00503A85" w:rsidRDefault="00503A85" w:rsidP="00503A85">
      <w:pPr>
        <w:spacing w:after="0"/>
        <w:ind w:left="709"/>
        <w:jc w:val="both"/>
        <w:rPr>
          <w:rFonts w:ascii="Gothic720 BT" w:hAnsi="Gothic720 BT"/>
          <w:bCs/>
          <w:lang w:val="es-ES" w:eastAsia="es-MX"/>
        </w:rPr>
      </w:pPr>
      <w:r w:rsidRPr="00C77D80">
        <w:rPr>
          <w:rFonts w:ascii="Gothic720 BT" w:hAnsi="Gothic720 BT" w:cs="Calibri"/>
          <w:b/>
        </w:rPr>
        <w:t>PRIMERO.</w:t>
      </w:r>
      <w:r w:rsidRPr="00C77D80">
        <w:rPr>
          <w:rFonts w:ascii="Gothic720 BT" w:hAnsi="Gothic720 BT"/>
          <w:b/>
          <w:bCs/>
          <w:lang w:val="es-ES" w:eastAsia="es-MX"/>
        </w:rPr>
        <w:t xml:space="preserve"> Recepción. </w:t>
      </w:r>
      <w:r w:rsidRPr="00C77D80">
        <w:rPr>
          <w:rFonts w:ascii="Gothic720 BT" w:hAnsi="Gothic720 BT"/>
        </w:rPr>
        <w:t xml:space="preserve">Se tiene por recibido </w:t>
      </w:r>
      <w:r>
        <w:rPr>
          <w:rFonts w:ascii="Gothic720 BT" w:hAnsi="Gothic720 BT"/>
          <w:bCs/>
          <w:lang w:val="es-ES" w:eastAsia="es-MX"/>
        </w:rPr>
        <w:t xml:space="preserve">el </w:t>
      </w:r>
      <w:r w:rsidRPr="00C77D80">
        <w:rPr>
          <w:rFonts w:ascii="Gothic720 BT" w:hAnsi="Gothic720 BT"/>
          <w:bCs/>
          <w:lang w:val="es-ES" w:eastAsia="es-MX"/>
        </w:rPr>
        <w:t>escrito de cuenta, que consta</w:t>
      </w:r>
      <w:r>
        <w:rPr>
          <w:rFonts w:ascii="Gothic720 BT" w:hAnsi="Gothic720 BT"/>
          <w:bCs/>
          <w:lang w:val="es-ES" w:eastAsia="es-MX"/>
        </w:rPr>
        <w:t xml:space="preserve"> de siete </w:t>
      </w:r>
      <w:r w:rsidRPr="00C77D80">
        <w:rPr>
          <w:rFonts w:ascii="Gothic720 BT" w:hAnsi="Gothic720 BT"/>
          <w:bCs/>
          <w:lang w:val="es-ES" w:eastAsia="es-MX"/>
        </w:rPr>
        <w:t xml:space="preserve">fojas, </w:t>
      </w:r>
      <w:r>
        <w:rPr>
          <w:rFonts w:ascii="Gothic720 BT" w:hAnsi="Gothic720 BT"/>
          <w:bCs/>
          <w:lang w:val="es-ES" w:eastAsia="es-MX"/>
        </w:rPr>
        <w:t xml:space="preserve">el cual </w:t>
      </w:r>
      <w:r w:rsidRPr="00C77D80">
        <w:rPr>
          <w:rFonts w:ascii="Gothic720 BT" w:hAnsi="Gothic720 BT"/>
          <w:bCs/>
          <w:lang w:val="es-ES" w:eastAsia="es-MX"/>
        </w:rPr>
        <w:t>se ordena agregar a los autos</w:t>
      </w:r>
      <w:r>
        <w:rPr>
          <w:rFonts w:ascii="Gothic720 BT" w:hAnsi="Gothic720 BT"/>
          <w:bCs/>
          <w:lang w:val="es-ES" w:eastAsia="es-MX"/>
        </w:rPr>
        <w:t xml:space="preserve"> del expediente en que se actúa</w:t>
      </w:r>
      <w:r w:rsidRPr="00C77D80">
        <w:rPr>
          <w:rFonts w:ascii="Gothic720 BT" w:hAnsi="Gothic720 BT"/>
          <w:bCs/>
          <w:lang w:val="es-ES" w:eastAsia="es-MX"/>
        </w:rPr>
        <w:t xml:space="preserve"> para que obre como corresponda</w:t>
      </w:r>
      <w:r>
        <w:rPr>
          <w:rFonts w:ascii="Gothic720 BT" w:hAnsi="Gothic720 BT"/>
          <w:bCs/>
          <w:lang w:val="es-ES" w:eastAsia="es-MX"/>
        </w:rPr>
        <w:t xml:space="preserve"> y surta los efectos legales a que haya lugar.</w:t>
      </w:r>
    </w:p>
    <w:p w:rsidR="00503A85" w:rsidRPr="00E342E5" w:rsidRDefault="00503A85" w:rsidP="00503A85">
      <w:pPr>
        <w:spacing w:after="0"/>
        <w:ind w:left="709"/>
        <w:jc w:val="both"/>
        <w:rPr>
          <w:rFonts w:ascii="Gothic720 BT" w:hAnsi="Gothic720 BT"/>
          <w:bCs/>
          <w:lang w:val="es-ES" w:eastAsia="es-MX"/>
        </w:rPr>
      </w:pPr>
    </w:p>
    <w:p w:rsidR="00503A85" w:rsidRPr="004327E1" w:rsidRDefault="00503A85" w:rsidP="004327E1">
      <w:pPr>
        <w:pStyle w:val="Prrafodelista"/>
        <w:jc w:val="both"/>
        <w:rPr>
          <w:rFonts w:ascii="Gothic720 BT" w:hAnsi="Gothic720 BT"/>
        </w:rPr>
      </w:pPr>
      <w:r w:rsidRPr="00C77D80">
        <w:rPr>
          <w:rFonts w:ascii="Gothic720 BT" w:hAnsi="Gothic720 BT"/>
          <w:b/>
        </w:rPr>
        <w:t>SEGUNDO. Oficialía electoral.</w:t>
      </w:r>
      <w:r w:rsidRPr="00C77D80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>En atención al proveído emitido el diecinueve de febrero de dos mil veintiuno</w:t>
      </w:r>
      <w:r w:rsidRPr="004327E1">
        <w:rPr>
          <w:rFonts w:ascii="Gothic720 BT" w:hAnsi="Gothic720 BT"/>
        </w:rPr>
        <w:t xml:space="preserve">, por el que esta Dirección Ejecutiva le requirió de nueva cuenta al Partido Movimiento </w:t>
      </w:r>
      <w:r w:rsidRPr="004327E1">
        <w:rPr>
          <w:rFonts w:ascii="Gothic720 BT" w:hAnsi="Gothic720 BT"/>
        </w:rPr>
        <w:lastRenderedPageBreak/>
        <w:t xml:space="preserve">Ciudadano el cumplimiento a lo mandatado en la resolución IEEQ/CG/R/009/20, el </w:t>
      </w:r>
      <w:r w:rsidR="004327E1">
        <w:rPr>
          <w:rFonts w:ascii="Gothic720 BT" w:hAnsi="Gothic720 BT"/>
        </w:rPr>
        <w:t>veinticuatro de febr</w:t>
      </w:r>
      <w:r w:rsidRPr="004327E1">
        <w:rPr>
          <w:rFonts w:ascii="Gothic720 BT" w:hAnsi="Gothic720 BT"/>
        </w:rPr>
        <w:t xml:space="preserve">ero, se recibió el escrito signado por el </w:t>
      </w:r>
      <w:r w:rsidRPr="004327E1">
        <w:rPr>
          <w:rFonts w:ascii="Gothic720 BT" w:hAnsi="Gothic720 BT" w:cs="Calibri"/>
        </w:rPr>
        <w:t>Delegado Nacional de Movimiento Ciudadano en el estado de Querétaro</w:t>
      </w:r>
      <w:r w:rsidRPr="004327E1">
        <w:rPr>
          <w:rFonts w:ascii="Gothic720 BT" w:hAnsi="Gothic720 BT"/>
        </w:rPr>
        <w:t xml:space="preserve">, mediante el cual señaló </w:t>
      </w:r>
      <w:r w:rsidR="0024522A">
        <w:rPr>
          <w:rFonts w:ascii="Gothic720 BT" w:hAnsi="Gothic720 BT"/>
        </w:rPr>
        <w:t>que por un problema técnico dentro de los enlaces en su página web oficial los enlaces que conducen a la versión completa de las ediciones trimestrales y la semestral se encontraban rotos, pero que a la fecha ya quedó solucionado, lo cual manifiesta se puede comprobar mediante las ligas remitidas</w:t>
      </w:r>
      <w:r w:rsidRPr="004327E1">
        <w:rPr>
          <w:rFonts w:ascii="Gothic720 BT" w:hAnsi="Gothic720 BT"/>
        </w:rPr>
        <w:t>.</w:t>
      </w:r>
    </w:p>
    <w:p w:rsidR="00503A85" w:rsidRDefault="00503A85" w:rsidP="00503A85">
      <w:pPr>
        <w:pStyle w:val="Prrafodelista"/>
        <w:jc w:val="both"/>
        <w:rPr>
          <w:rFonts w:ascii="Gothic720 BT" w:hAnsi="Gothic720 BT"/>
        </w:rPr>
      </w:pPr>
    </w:p>
    <w:p w:rsidR="00503A85" w:rsidRDefault="00503A85" w:rsidP="00503A85">
      <w:pPr>
        <w:pStyle w:val="Prrafodelista"/>
        <w:jc w:val="both"/>
        <w:rPr>
          <w:rFonts w:ascii="Gothic720 BT" w:hAnsi="Gothic720 BT"/>
        </w:rPr>
      </w:pPr>
      <w:r>
        <w:rPr>
          <w:rFonts w:ascii="Gothic720 BT" w:hAnsi="Gothic720 BT"/>
        </w:rPr>
        <w:t>Derivado de lo anterior y c</w:t>
      </w:r>
      <w:r w:rsidRPr="00C77D80">
        <w:rPr>
          <w:rFonts w:ascii="Gothic720 BT" w:hAnsi="Gothic720 BT"/>
        </w:rPr>
        <w:t xml:space="preserve">on fundamento en los artículos 77, fracciones I y XI, de la Ley Electoral; 45, fracción I, inciso b) del Reglamento Interior del Instituto; así como 1, 3, 5 y 7 del Reglamento de la Oficialía Electoral del Instituto, se instruye al personal de la </w:t>
      </w:r>
      <w:r>
        <w:rPr>
          <w:rFonts w:ascii="Gothic720 BT" w:hAnsi="Gothic720 BT"/>
        </w:rPr>
        <w:t xml:space="preserve">Coordinación </w:t>
      </w:r>
      <w:r w:rsidRPr="00E678F7">
        <w:rPr>
          <w:rFonts w:ascii="Gothic720 BT" w:hAnsi="Gothic720 BT"/>
        </w:rPr>
        <w:t xml:space="preserve">de Oficialía </w:t>
      </w:r>
      <w:r>
        <w:rPr>
          <w:rFonts w:ascii="Gothic720 BT" w:hAnsi="Gothic720 BT"/>
        </w:rPr>
        <w:t>Electoral</w:t>
      </w:r>
      <w:r w:rsidRPr="00C77D80">
        <w:rPr>
          <w:rFonts w:ascii="Gothic720 BT" w:hAnsi="Gothic720 BT"/>
        </w:rPr>
        <w:t>, para que levante el acta de Oficialía Electoral a efecto de ve</w:t>
      </w:r>
      <w:r>
        <w:rPr>
          <w:rFonts w:ascii="Gothic720 BT" w:hAnsi="Gothic720 BT"/>
        </w:rPr>
        <w:t>rificar lo siguiente</w:t>
      </w:r>
      <w:r w:rsidRPr="00C77D80">
        <w:rPr>
          <w:rFonts w:ascii="Gothic720 BT" w:hAnsi="Gothic720 BT"/>
        </w:rPr>
        <w:t xml:space="preserve">: </w:t>
      </w:r>
    </w:p>
    <w:p w:rsidR="00503A85" w:rsidRDefault="00503A85" w:rsidP="00503A85">
      <w:pPr>
        <w:pStyle w:val="Prrafodelista"/>
        <w:jc w:val="both"/>
        <w:rPr>
          <w:rFonts w:ascii="Gothic720 BT" w:hAnsi="Gothic720 BT"/>
        </w:rPr>
      </w:pPr>
    </w:p>
    <w:p w:rsidR="00A7118F" w:rsidRPr="00A7118F" w:rsidRDefault="00503A85" w:rsidP="00A7118F">
      <w:pPr>
        <w:pStyle w:val="Prrafodelista"/>
        <w:jc w:val="both"/>
        <w:rPr>
          <w:rFonts w:ascii="Gothic720 BT" w:hAnsi="Gothic720 BT"/>
        </w:rPr>
      </w:pPr>
      <w:r>
        <w:rPr>
          <w:rFonts w:ascii="Gothic720 BT" w:hAnsi="Gothic720 BT"/>
        </w:rPr>
        <w:t>Si el Partido Movimiento Ciudadano</w:t>
      </w:r>
      <w:r w:rsidRPr="00C77D80">
        <w:rPr>
          <w:rFonts w:ascii="Gothic720 BT" w:hAnsi="Gothic720 BT"/>
        </w:rPr>
        <w:t xml:space="preserve">, </w:t>
      </w:r>
      <w:r>
        <w:rPr>
          <w:rFonts w:ascii="Gothic720 BT" w:hAnsi="Gothic720 BT"/>
        </w:rPr>
        <w:t>ha dado cumplimiento a</w:t>
      </w:r>
      <w:r w:rsidR="00A7118F" w:rsidRPr="00A7118F">
        <w:rPr>
          <w:rFonts w:ascii="Gothic720 BT" w:eastAsia="Calibri" w:hAnsi="Gothic720 BT" w:cs="Calibri"/>
          <w:sz w:val="21"/>
          <w:szCs w:val="21"/>
        </w:rPr>
        <w:t xml:space="preserve"> </w:t>
      </w:r>
      <w:r w:rsidR="00A7118F" w:rsidRPr="00BA0722">
        <w:rPr>
          <w:rFonts w:ascii="Gothic720 BT" w:eastAsia="Calibri" w:hAnsi="Gothic720 BT" w:cs="Calibri"/>
          <w:sz w:val="21"/>
          <w:szCs w:val="21"/>
        </w:rPr>
        <w:t xml:space="preserve">las acciones mandatadas en el considerando quinto numeral dos de la resolución IEEQ/CG/R/009/20, </w:t>
      </w:r>
      <w:r w:rsidR="00A7118F">
        <w:rPr>
          <w:rFonts w:ascii="Gothic720 BT" w:eastAsia="Calibri" w:hAnsi="Gothic720 BT" w:cs="Calibri"/>
          <w:sz w:val="21"/>
          <w:szCs w:val="21"/>
        </w:rPr>
        <w:t xml:space="preserve">consistentes </w:t>
      </w:r>
      <w:r w:rsidR="00A7118F" w:rsidRPr="00BA0722">
        <w:rPr>
          <w:rFonts w:ascii="Gothic720 BT" w:eastAsia="Calibri" w:hAnsi="Gothic720 BT" w:cs="Calibri"/>
          <w:sz w:val="21"/>
          <w:szCs w:val="21"/>
        </w:rPr>
        <w:t xml:space="preserve">en </w:t>
      </w:r>
      <w:r w:rsidR="00A7118F">
        <w:rPr>
          <w:rFonts w:ascii="Gothic720 BT" w:eastAsia="Calibri" w:hAnsi="Gothic720 BT" w:cs="Calibri"/>
          <w:sz w:val="21"/>
          <w:szCs w:val="21"/>
        </w:rPr>
        <w:t>la publicación de</w:t>
      </w:r>
      <w:r w:rsidR="00A7118F" w:rsidRPr="00BA0722">
        <w:rPr>
          <w:rFonts w:ascii="Gothic720 BT" w:eastAsia="Calibri" w:hAnsi="Gothic720 BT" w:cs="Calibri"/>
          <w:sz w:val="21"/>
          <w:szCs w:val="21"/>
        </w:rPr>
        <w:t xml:space="preserve"> las </w:t>
      </w:r>
      <w:r w:rsidR="00A7118F" w:rsidRPr="00BA0722">
        <w:rPr>
          <w:rFonts w:ascii="Gothic720 BT" w:eastAsia="Calibri" w:hAnsi="Gothic720 BT" w:cs="Calibri"/>
          <w:b/>
          <w:sz w:val="21"/>
          <w:szCs w:val="21"/>
        </w:rPr>
        <w:t>ediciones trimestrales de divulgación</w:t>
      </w:r>
      <w:r w:rsidR="00A7118F" w:rsidRPr="00BA0722">
        <w:rPr>
          <w:rFonts w:ascii="Gothic720 BT" w:eastAsia="Calibri" w:hAnsi="Gothic720 BT" w:cs="Calibri"/>
          <w:sz w:val="21"/>
          <w:szCs w:val="21"/>
        </w:rPr>
        <w:t xml:space="preserve"> y la </w:t>
      </w:r>
      <w:r w:rsidR="00A7118F" w:rsidRPr="00BA0722">
        <w:rPr>
          <w:rFonts w:ascii="Gothic720 BT" w:eastAsia="Calibri" w:hAnsi="Gothic720 BT" w:cs="Calibri"/>
          <w:b/>
          <w:sz w:val="21"/>
          <w:szCs w:val="21"/>
        </w:rPr>
        <w:t>semestral de carácter teórico</w:t>
      </w:r>
      <w:r w:rsidR="00A7118F" w:rsidRPr="00BA0722">
        <w:rPr>
          <w:rFonts w:ascii="Gothic720 BT" w:eastAsia="Calibri" w:hAnsi="Gothic720 BT" w:cs="Calibri"/>
          <w:sz w:val="21"/>
          <w:szCs w:val="21"/>
        </w:rPr>
        <w:t xml:space="preserve">, </w:t>
      </w:r>
      <w:r w:rsidR="00A7118F">
        <w:rPr>
          <w:rFonts w:ascii="Gothic720 BT" w:eastAsia="Calibri" w:hAnsi="Gothic720 BT" w:cs="Calibri"/>
          <w:sz w:val="21"/>
          <w:szCs w:val="21"/>
        </w:rPr>
        <w:t>en su página oficial</w:t>
      </w:r>
      <w:r w:rsidRPr="00A7118F">
        <w:rPr>
          <w:rFonts w:ascii="Gothic720 BT" w:hAnsi="Gothic720 BT"/>
        </w:rPr>
        <w:t xml:space="preserve">; de acuerdo con el contenido de las ligas de internet </w:t>
      </w:r>
      <w:r w:rsidR="003972DC" w:rsidRPr="00A7118F">
        <w:rPr>
          <w:rFonts w:ascii="Gothic720 BT" w:hAnsi="Gothic720 BT"/>
        </w:rPr>
        <w:t xml:space="preserve">y las capturas de pantalla </w:t>
      </w:r>
      <w:r w:rsidRPr="00A7118F">
        <w:rPr>
          <w:rFonts w:ascii="Gothic720 BT" w:hAnsi="Gothic720 BT"/>
        </w:rPr>
        <w:t xml:space="preserve">que proporcionó en el escrito de cuenta que </w:t>
      </w:r>
      <w:r w:rsidR="003972DC" w:rsidRPr="00A7118F">
        <w:rPr>
          <w:rFonts w:ascii="Gothic720 BT" w:hAnsi="Gothic720 BT"/>
        </w:rPr>
        <w:t>se remite</w:t>
      </w:r>
      <w:r w:rsidRPr="00A7118F">
        <w:rPr>
          <w:rFonts w:ascii="Gothic720 BT" w:hAnsi="Gothic720 BT"/>
        </w:rPr>
        <w:t xml:space="preserve"> en copia simple para mejor instrucción.</w:t>
      </w:r>
    </w:p>
    <w:p w:rsidR="00503A85" w:rsidRPr="00C77D80" w:rsidRDefault="00503A85" w:rsidP="00503A85">
      <w:pPr>
        <w:ind w:left="709"/>
        <w:jc w:val="both"/>
        <w:rPr>
          <w:rFonts w:ascii="Gothic720 BT" w:hAnsi="Gothic720 BT"/>
        </w:rPr>
      </w:pPr>
      <w:r w:rsidRPr="00C77D80">
        <w:rPr>
          <w:rFonts w:ascii="Gothic720 BT" w:hAnsi="Gothic720 BT" w:cs="Calibri"/>
          <w:b/>
        </w:rPr>
        <w:t>Notifíquese por</w:t>
      </w:r>
      <w:r>
        <w:rPr>
          <w:rFonts w:ascii="Gothic720 BT" w:hAnsi="Gothic720 BT" w:cs="Calibri"/>
          <w:b/>
        </w:rPr>
        <w:t xml:space="preserve"> oficio a la Coordinación de Oficialía Electoral del Instituto Electoral del Estado de Querétaro y por</w:t>
      </w:r>
      <w:r w:rsidRPr="00C77D80">
        <w:rPr>
          <w:rFonts w:ascii="Gothic720 BT" w:hAnsi="Gothic720 BT" w:cs="Calibri"/>
          <w:b/>
        </w:rPr>
        <w:t xml:space="preserve"> estrados, con fundamento en los artículos 3 d</w:t>
      </w:r>
      <w:r w:rsidR="003972DC">
        <w:rPr>
          <w:rFonts w:ascii="Gothic720 BT" w:hAnsi="Gothic720 BT" w:cs="Calibri"/>
          <w:b/>
        </w:rPr>
        <w:t>e la Ley Electoral; 48</w:t>
      </w:r>
      <w:r>
        <w:rPr>
          <w:rFonts w:ascii="Gothic720 BT" w:hAnsi="Gothic720 BT" w:cs="Calibri"/>
          <w:b/>
        </w:rPr>
        <w:t>, fracciones</w:t>
      </w:r>
      <w:r w:rsidRPr="00C77D80">
        <w:rPr>
          <w:rFonts w:ascii="Gothic720 BT" w:hAnsi="Gothic720 BT" w:cs="Calibri"/>
          <w:b/>
        </w:rPr>
        <w:t xml:space="preserve"> II</w:t>
      </w:r>
      <w:r>
        <w:rPr>
          <w:rFonts w:ascii="Gothic720 BT" w:hAnsi="Gothic720 BT" w:cs="Calibri"/>
          <w:b/>
        </w:rPr>
        <w:t xml:space="preserve"> y III</w:t>
      </w:r>
      <w:r w:rsidR="003972DC">
        <w:rPr>
          <w:rFonts w:ascii="Gothic720 BT" w:hAnsi="Gothic720 BT" w:cs="Calibri"/>
          <w:b/>
        </w:rPr>
        <w:t>, 50, 51</w:t>
      </w:r>
      <w:r w:rsidRPr="00C77D80">
        <w:rPr>
          <w:rFonts w:ascii="Gothic720 BT" w:hAnsi="Gothic720 BT" w:cs="Calibri"/>
          <w:b/>
        </w:rPr>
        <w:t xml:space="preserve"> y 56,</w:t>
      </w:r>
      <w:r>
        <w:rPr>
          <w:rFonts w:ascii="Gothic720 BT" w:hAnsi="Gothic720 BT" w:cs="Calibri"/>
          <w:b/>
        </w:rPr>
        <w:t xml:space="preserve"> fracciones I y </w:t>
      </w:r>
      <w:r w:rsidRPr="00C77D80">
        <w:rPr>
          <w:rFonts w:ascii="Gothic720 BT" w:hAnsi="Gothic720 BT" w:cs="Calibri"/>
          <w:b/>
        </w:rPr>
        <w:t>II</w:t>
      </w:r>
      <w:r w:rsidR="003972DC">
        <w:rPr>
          <w:rFonts w:ascii="Gothic720 BT" w:hAnsi="Gothic720 BT" w:cs="Calibri"/>
          <w:b/>
        </w:rPr>
        <w:t>I</w:t>
      </w:r>
      <w:r w:rsidRPr="00C77D80">
        <w:rPr>
          <w:rFonts w:ascii="Gothic720 BT" w:hAnsi="Gothic720 BT" w:cs="Calibri"/>
          <w:b/>
        </w:rPr>
        <w:t xml:space="preserve"> de la Ley de Medios de Impugnación en Materia Electoral del Estado de Querétaro</w:t>
      </w:r>
      <w:r w:rsidRPr="00C77D80">
        <w:rPr>
          <w:rFonts w:ascii="Gothic720 BT" w:hAnsi="Gothic720 BT" w:cs="Calibri"/>
        </w:rPr>
        <w:t>.</w:t>
      </w:r>
    </w:p>
    <w:p w:rsidR="00503A85" w:rsidRPr="00C77D80" w:rsidRDefault="00503A85" w:rsidP="00503A85">
      <w:pPr>
        <w:spacing w:after="0"/>
        <w:ind w:left="709"/>
        <w:jc w:val="both"/>
        <w:rPr>
          <w:rFonts w:ascii="Gothic720 BT" w:hAnsi="Gothic720 BT"/>
        </w:rPr>
      </w:pPr>
      <w:r w:rsidRPr="00C77D80">
        <w:rPr>
          <w:rFonts w:ascii="Gothic720 BT" w:hAnsi="Gothic720 BT" w:cs="Calibri"/>
        </w:rPr>
        <w:t xml:space="preserve">Así lo proveyó y firmó el Director Ejecutivo de Asuntos Jurídicos del Instituto Electoral del Estado de Querétaro, quien autoriza. </w:t>
      </w:r>
      <w:r w:rsidRPr="00C77D80">
        <w:rPr>
          <w:rFonts w:ascii="Gothic720 BT" w:hAnsi="Gothic720 BT" w:cs="Calibri"/>
          <w:b/>
        </w:rPr>
        <w:t>CONSTE</w:t>
      </w:r>
      <w:r w:rsidRPr="00C77D80">
        <w:rPr>
          <w:rFonts w:ascii="Gothic720 BT" w:hAnsi="Gothic720 BT" w:cs="Calibri"/>
        </w:rPr>
        <w:t>.</w:t>
      </w:r>
    </w:p>
    <w:p w:rsidR="00503A85" w:rsidRPr="00C77D80" w:rsidRDefault="00503A85" w:rsidP="00503A85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</w:rPr>
      </w:pPr>
    </w:p>
    <w:p w:rsidR="00503A85" w:rsidRPr="00C77D80" w:rsidRDefault="00503A85" w:rsidP="00503A85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</w:rPr>
      </w:pPr>
      <w:bookmarkStart w:id="0" w:name="_GoBack"/>
      <w:bookmarkEnd w:id="0"/>
    </w:p>
    <w:p w:rsidR="00503A85" w:rsidRPr="00C77D80" w:rsidRDefault="00503A85" w:rsidP="00503A85">
      <w:pPr>
        <w:tabs>
          <w:tab w:val="left" w:pos="0"/>
          <w:tab w:val="left" w:pos="142"/>
        </w:tabs>
        <w:spacing w:after="0"/>
        <w:ind w:left="709"/>
        <w:jc w:val="center"/>
        <w:rPr>
          <w:rFonts w:ascii="Gothic720 BT" w:hAnsi="Gothic720 BT" w:cs="Calibri"/>
          <w:b/>
        </w:rPr>
      </w:pPr>
      <w:r w:rsidRPr="00C77D80">
        <w:rPr>
          <w:rFonts w:ascii="Gothic720 BT" w:hAnsi="Gothic720 BT" w:cs="Calibri"/>
          <w:b/>
        </w:rPr>
        <w:t>Dr. Juan Rivera Hernández</w:t>
      </w:r>
    </w:p>
    <w:p w:rsidR="00503A85" w:rsidRPr="00F44DCA" w:rsidRDefault="00503A85" w:rsidP="00503A85">
      <w:pPr>
        <w:jc w:val="center"/>
        <w:rPr>
          <w:rFonts w:ascii="Gothic720 BT" w:hAnsi="Gothic720 BT" w:cs="Calibri"/>
        </w:rPr>
      </w:pPr>
      <w:r w:rsidRPr="00C77D80">
        <w:rPr>
          <w:rFonts w:ascii="Gothic720 BT" w:hAnsi="Gothic720 BT" w:cs="Calibri"/>
        </w:rPr>
        <w:t>Directo</w:t>
      </w:r>
      <w:r>
        <w:rPr>
          <w:rFonts w:ascii="Gothic720 BT" w:hAnsi="Gothic720 BT" w:cs="Calibri"/>
        </w:rPr>
        <w:t>r Ejecutivo de Asuntos Jurídicos</w:t>
      </w:r>
    </w:p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503A85" w:rsidRPr="00C77D80" w:rsidTr="001D6F24">
        <w:tc>
          <w:tcPr>
            <w:tcW w:w="5468" w:type="dxa"/>
          </w:tcPr>
          <w:p w:rsidR="00503A85" w:rsidRDefault="00503A85" w:rsidP="001D6F24">
            <w:pPr>
              <w:jc w:val="both"/>
              <w:rPr>
                <w:rFonts w:ascii="Gothic720 BT" w:hAnsi="Gothic720 BT"/>
                <w:b/>
              </w:rPr>
            </w:pPr>
          </w:p>
          <w:p w:rsidR="00503A85" w:rsidRPr="00C77D80" w:rsidRDefault="00503A85" w:rsidP="001D6F24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PROCEDIMIENTO ORDINARIO SANCIONADOR</w:t>
            </w:r>
          </w:p>
          <w:p w:rsidR="00503A85" w:rsidRPr="00C77D80" w:rsidRDefault="00503A85" w:rsidP="001D6F24">
            <w:pPr>
              <w:jc w:val="both"/>
              <w:rPr>
                <w:rFonts w:ascii="Gothic720 BT" w:hAnsi="Gothic720 BT"/>
                <w:b/>
              </w:rPr>
            </w:pPr>
          </w:p>
          <w:p w:rsidR="00503A85" w:rsidRPr="00C77D80" w:rsidRDefault="00503A85" w:rsidP="001D6F24">
            <w:pPr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EXPEDIENTE:</w:t>
            </w:r>
            <w:r>
              <w:rPr>
                <w:rFonts w:ascii="Gothic720 BT" w:hAnsi="Gothic720 BT"/>
              </w:rPr>
              <w:t xml:space="preserve"> IEEQ/POS/004/2020</w:t>
            </w:r>
            <w:r w:rsidRPr="00C77D80">
              <w:rPr>
                <w:rFonts w:ascii="Gothic720 BT" w:hAnsi="Gothic720 BT"/>
              </w:rPr>
              <w:t>-P</w:t>
            </w:r>
          </w:p>
          <w:p w:rsidR="00503A85" w:rsidRPr="00C77D80" w:rsidRDefault="00503A85" w:rsidP="001D6F24">
            <w:pPr>
              <w:jc w:val="both"/>
              <w:rPr>
                <w:rFonts w:ascii="Gothic720 BT" w:hAnsi="Gothic720 BT"/>
                <w:b/>
              </w:rPr>
            </w:pPr>
          </w:p>
          <w:p w:rsidR="00503A85" w:rsidRPr="00C77D80" w:rsidRDefault="00503A85" w:rsidP="001D6F24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 xml:space="preserve">DENUNCIANTE: </w:t>
            </w:r>
            <w:r w:rsidRPr="00C77D80">
              <w:rPr>
                <w:rFonts w:ascii="Gothic720 BT" w:hAnsi="Gothic720 BT"/>
              </w:rPr>
              <w:t>PROCEDIMIENTO QUE SE INICIA DE OFICIO CON BASE EN LA VISTA REALIZADA POR EL INSTITUTO NACIONAL ELECTORAL.</w:t>
            </w:r>
          </w:p>
          <w:p w:rsidR="00503A85" w:rsidRPr="00C77D80" w:rsidRDefault="00503A85" w:rsidP="001D6F24">
            <w:pPr>
              <w:jc w:val="both"/>
              <w:rPr>
                <w:rFonts w:ascii="Gothic720 BT" w:hAnsi="Gothic720 BT"/>
                <w:b/>
              </w:rPr>
            </w:pPr>
          </w:p>
          <w:p w:rsidR="00503A85" w:rsidRPr="00C77D80" w:rsidRDefault="00503A85" w:rsidP="001D6F24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DENUNCIADO:</w:t>
            </w:r>
            <w:r w:rsidRPr="00C77D80">
              <w:rPr>
                <w:rFonts w:ascii="Gothic720 BT" w:hAnsi="Gothic720 BT"/>
              </w:rPr>
              <w:t xml:space="preserve"> PARTIDO </w:t>
            </w:r>
            <w:r>
              <w:rPr>
                <w:rFonts w:ascii="Gothic720 BT" w:hAnsi="Gothic720 BT"/>
              </w:rPr>
              <w:t>MOVIMIENTO CIUDADANO.</w:t>
            </w:r>
          </w:p>
          <w:p w:rsidR="00503A85" w:rsidRPr="00C77D80" w:rsidRDefault="00503A85" w:rsidP="001D6F24">
            <w:pPr>
              <w:jc w:val="both"/>
              <w:rPr>
                <w:rFonts w:ascii="Gothic720 BT" w:hAnsi="Gothic720 BT"/>
                <w:b/>
              </w:rPr>
            </w:pPr>
          </w:p>
          <w:p w:rsidR="00503A85" w:rsidRPr="00C77D80" w:rsidRDefault="00503A85" w:rsidP="001D6F24">
            <w:pPr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ASUNTO:</w:t>
            </w:r>
            <w:r w:rsidRPr="00C77D80">
              <w:rPr>
                <w:rFonts w:ascii="Gothic720 BT" w:hAnsi="Gothic720 BT"/>
              </w:rPr>
              <w:t xml:space="preserve"> RECEPCIÓN.</w:t>
            </w:r>
          </w:p>
          <w:p w:rsidR="00503A85" w:rsidRPr="00C77D80" w:rsidRDefault="00503A85" w:rsidP="001D6F24">
            <w:pPr>
              <w:jc w:val="both"/>
              <w:rPr>
                <w:rFonts w:ascii="Gothic720 BT" w:hAnsi="Gothic720 BT"/>
                <w:b/>
              </w:rPr>
            </w:pPr>
          </w:p>
        </w:tc>
      </w:tr>
    </w:tbl>
    <w:p w:rsidR="00503A85" w:rsidRPr="00C77D80" w:rsidRDefault="00503A85" w:rsidP="00503A85">
      <w:pPr>
        <w:spacing w:after="0"/>
        <w:jc w:val="both"/>
        <w:rPr>
          <w:rFonts w:ascii="Gothic720 BT" w:hAnsi="Gothic720 BT"/>
        </w:rPr>
      </w:pPr>
      <w:r w:rsidRPr="00C77D80">
        <w:rPr>
          <w:rFonts w:ascii="Gothic720 BT" w:hAnsi="Gothic720 BT"/>
        </w:rPr>
        <w:t xml:space="preserve"> </w:t>
      </w:r>
    </w:p>
    <w:p w:rsidR="00503A85" w:rsidRPr="00C77D80" w:rsidRDefault="00503A85" w:rsidP="00503A85">
      <w:pPr>
        <w:spacing w:after="0"/>
        <w:ind w:left="709"/>
        <w:jc w:val="both"/>
        <w:rPr>
          <w:rFonts w:ascii="Gothic720 BT" w:hAnsi="Gothic720 BT" w:cs="Arial"/>
        </w:rPr>
      </w:pPr>
      <w:r w:rsidRPr="00C77D80">
        <w:rPr>
          <w:rFonts w:ascii="Gothic720 BT" w:hAnsi="Gothic720 BT" w:cs="Arial"/>
        </w:rPr>
        <w:t xml:space="preserve">En Santiago de Querétaro, Querétaro, siendo las </w:t>
      </w:r>
      <w:r w:rsidR="003972DC">
        <w:rPr>
          <w:rFonts w:ascii="Gothic720 BT" w:hAnsi="Gothic720 BT" w:cs="Arial"/>
        </w:rPr>
        <w:t>catorce</w:t>
      </w:r>
      <w:r>
        <w:rPr>
          <w:rFonts w:ascii="Gothic720 BT" w:hAnsi="Gothic720 BT" w:cs="Arial"/>
        </w:rPr>
        <w:t xml:space="preserve"> </w:t>
      </w:r>
      <w:r w:rsidRPr="00C77D80">
        <w:rPr>
          <w:rFonts w:ascii="Gothic720 BT" w:hAnsi="Gothic720 BT" w:cs="Arial"/>
        </w:rPr>
        <w:t xml:space="preserve">horas del </w:t>
      </w:r>
      <w:r w:rsidR="003972DC">
        <w:rPr>
          <w:rFonts w:ascii="Gothic720 BT" w:hAnsi="Gothic720 BT" w:cs="Arial"/>
        </w:rPr>
        <w:t>veinticinco</w:t>
      </w:r>
      <w:r>
        <w:rPr>
          <w:rFonts w:ascii="Gothic720 BT" w:hAnsi="Gothic720 BT" w:cs="Arial"/>
        </w:rPr>
        <w:t xml:space="preserve"> </w:t>
      </w:r>
      <w:r w:rsidRPr="00C77D80">
        <w:rPr>
          <w:rFonts w:ascii="Gothic720 BT" w:hAnsi="Gothic720 BT" w:cs="Arial"/>
        </w:rPr>
        <w:t xml:space="preserve">de </w:t>
      </w:r>
      <w:r w:rsidR="003972DC">
        <w:rPr>
          <w:rFonts w:ascii="Gothic720 BT" w:hAnsi="Gothic720 BT" w:cs="Arial"/>
        </w:rPr>
        <w:t>febr</w:t>
      </w:r>
      <w:r>
        <w:rPr>
          <w:rFonts w:ascii="Gothic720 BT" w:hAnsi="Gothic720 BT" w:cs="Arial"/>
        </w:rPr>
        <w:t>ero de dos mil veintiuno</w:t>
      </w:r>
      <w:r w:rsidRPr="00C77D80">
        <w:rPr>
          <w:rFonts w:ascii="Gothic720 BT" w:hAnsi="Gothic720 BT" w:cs="Arial"/>
        </w:rPr>
        <w:t>, en cumplimiento a lo ordenado en el p</w:t>
      </w:r>
      <w:r>
        <w:rPr>
          <w:rFonts w:ascii="Gothic720 BT" w:hAnsi="Gothic720 BT" w:cs="Arial"/>
        </w:rPr>
        <w:t>roveído dictado en misma fecha</w:t>
      </w:r>
      <w:r w:rsidRPr="00C77D80">
        <w:rPr>
          <w:rFonts w:ascii="Gothic720 BT" w:hAnsi="Gothic720 BT" w:cs="Arial"/>
        </w:rPr>
        <w:t>, co</w:t>
      </w:r>
      <w:r w:rsidR="003972DC">
        <w:rPr>
          <w:rFonts w:ascii="Gothic720 BT" w:hAnsi="Gothic720 BT" w:cs="Arial"/>
        </w:rPr>
        <w:t xml:space="preserve">n fundamento en los artículos </w:t>
      </w:r>
      <w:r w:rsidR="003972DC" w:rsidRPr="003972DC">
        <w:rPr>
          <w:rFonts w:ascii="Gothic720 BT" w:hAnsi="Gothic720 BT" w:cs="Calibri"/>
        </w:rPr>
        <w:t>48, fracciones II y III, 50, 51 y 56, fracciones I y III</w:t>
      </w:r>
      <w:r w:rsidR="003972DC" w:rsidRPr="00C77D80">
        <w:rPr>
          <w:rFonts w:ascii="Gothic720 BT" w:hAnsi="Gothic720 BT" w:cs="Arial"/>
        </w:rPr>
        <w:t xml:space="preserve"> </w:t>
      </w:r>
      <w:r w:rsidRPr="00C77D80">
        <w:rPr>
          <w:rFonts w:ascii="Gothic720 BT" w:hAnsi="Gothic720 BT" w:cs="Arial"/>
        </w:rPr>
        <w:t xml:space="preserve">de la Ley de Medios de Impugnación en Materia Electoral del Estado de Querétaro, se </w:t>
      </w:r>
      <w:r w:rsidRPr="00C77D80">
        <w:rPr>
          <w:rFonts w:ascii="Gothic720 BT" w:hAnsi="Gothic720 BT" w:cs="Arial"/>
          <w:b/>
        </w:rPr>
        <w:t xml:space="preserve">NOTIFICA </w:t>
      </w:r>
      <w:r w:rsidRPr="00C77D80">
        <w:rPr>
          <w:rFonts w:ascii="Gothic720 BT" w:hAnsi="Gothic720 BT" w:cs="Arial"/>
        </w:rPr>
        <w:t>el contenido del prove</w:t>
      </w:r>
      <w:r>
        <w:rPr>
          <w:rFonts w:ascii="Gothic720 BT" w:hAnsi="Gothic720 BT" w:cs="Arial"/>
        </w:rPr>
        <w:t>í</w:t>
      </w:r>
      <w:r w:rsidR="003972DC">
        <w:rPr>
          <w:rFonts w:ascii="Gothic720 BT" w:hAnsi="Gothic720 BT" w:cs="Arial"/>
        </w:rPr>
        <w:t>do de mérito que consta de dos</w:t>
      </w:r>
      <w:r w:rsidRPr="00C77D80">
        <w:rPr>
          <w:rFonts w:ascii="Gothic720 BT" w:hAnsi="Gothic720 BT" w:cs="Arial"/>
        </w:rPr>
        <w:t xml:space="preserve"> fojas, mediante cédula que se fija en los </w:t>
      </w:r>
      <w:r w:rsidRPr="00C77D80">
        <w:rPr>
          <w:rFonts w:ascii="Gothic720 BT" w:hAnsi="Gothic720 BT" w:cs="Arial"/>
          <w:b/>
        </w:rPr>
        <w:t>ESTRADOS</w:t>
      </w:r>
      <w:r w:rsidRPr="00C77D80">
        <w:rPr>
          <w:rFonts w:ascii="Gothic720 BT" w:hAnsi="Gothic720 BT" w:cs="Arial"/>
        </w:rPr>
        <w:t xml:space="preserve"> de este Consejo General de este Instituto Electoral del Estado de Querétaro, anexando copia del mismo. </w:t>
      </w:r>
      <w:r w:rsidRPr="00C77D80">
        <w:rPr>
          <w:rFonts w:ascii="Gothic720 BT" w:hAnsi="Gothic720 BT" w:cs="Arial"/>
          <w:b/>
        </w:rPr>
        <w:t>CONSTE</w:t>
      </w:r>
      <w:r w:rsidRPr="00C77D80">
        <w:rPr>
          <w:rFonts w:ascii="Gothic720 BT" w:hAnsi="Gothic720 BT" w:cs="Arial"/>
        </w:rPr>
        <w:t xml:space="preserve">. </w:t>
      </w:r>
    </w:p>
    <w:p w:rsidR="00503A85" w:rsidRPr="00C77D80" w:rsidRDefault="00503A85" w:rsidP="00503A85">
      <w:pPr>
        <w:spacing w:after="0"/>
        <w:ind w:left="709"/>
        <w:jc w:val="both"/>
        <w:rPr>
          <w:rFonts w:ascii="Gothic720 BT" w:hAnsi="Gothic720 BT" w:cs="Arial"/>
        </w:rPr>
      </w:pPr>
    </w:p>
    <w:p w:rsidR="00503A85" w:rsidRPr="00C77D80" w:rsidRDefault="00503A85" w:rsidP="00503A85">
      <w:pPr>
        <w:spacing w:after="0"/>
        <w:ind w:left="709"/>
        <w:jc w:val="both"/>
        <w:rPr>
          <w:rFonts w:ascii="Gothic720 BT" w:hAnsi="Gothic720 BT" w:cs="Arial"/>
        </w:rPr>
      </w:pPr>
    </w:p>
    <w:p w:rsidR="00503A85" w:rsidRPr="00C77D80" w:rsidRDefault="00503A85" w:rsidP="00503A85">
      <w:pPr>
        <w:spacing w:after="0"/>
        <w:ind w:left="709"/>
        <w:jc w:val="both"/>
        <w:rPr>
          <w:rFonts w:ascii="Gothic720 BT" w:hAnsi="Gothic720 BT" w:cs="Arial"/>
        </w:rPr>
      </w:pPr>
    </w:p>
    <w:p w:rsidR="00503A85" w:rsidRPr="00C77D80" w:rsidRDefault="00503A85" w:rsidP="00503A85">
      <w:pPr>
        <w:spacing w:after="0"/>
        <w:ind w:left="709"/>
        <w:jc w:val="both"/>
        <w:rPr>
          <w:rFonts w:ascii="Gothic720 BT" w:hAnsi="Gothic720 BT" w:cs="Arial"/>
        </w:rPr>
      </w:pPr>
    </w:p>
    <w:p w:rsidR="00503A85" w:rsidRPr="00C77D80" w:rsidRDefault="00503A85" w:rsidP="00503A85">
      <w:pPr>
        <w:spacing w:after="0"/>
        <w:ind w:left="709"/>
        <w:jc w:val="center"/>
        <w:rPr>
          <w:rFonts w:ascii="Gothic720 BT" w:hAnsi="Gothic720 BT" w:cs="Arial"/>
          <w:b/>
        </w:rPr>
      </w:pPr>
      <w:r w:rsidRPr="00C77D80">
        <w:rPr>
          <w:rFonts w:ascii="Gothic720 BT" w:hAnsi="Gothic720 BT" w:cs="Arial"/>
          <w:b/>
        </w:rPr>
        <w:t>Dr. Juan Rivera Hernández</w:t>
      </w:r>
    </w:p>
    <w:p w:rsidR="00503A85" w:rsidRPr="00C77D80" w:rsidRDefault="00503A85" w:rsidP="00503A85">
      <w:pPr>
        <w:spacing w:after="0"/>
        <w:ind w:left="709"/>
        <w:jc w:val="center"/>
        <w:rPr>
          <w:rFonts w:ascii="Gothic720 BT" w:hAnsi="Gothic720 BT" w:cs="Arial"/>
        </w:rPr>
      </w:pPr>
      <w:r w:rsidRPr="00C77D80">
        <w:rPr>
          <w:rFonts w:ascii="Gothic720 BT" w:hAnsi="Gothic720 BT" w:cs="Arial"/>
        </w:rPr>
        <w:t>Director Ejecutivo de Asuntos Jurídicos</w:t>
      </w:r>
    </w:p>
    <w:p w:rsidR="00503A85" w:rsidRPr="00C77D80" w:rsidRDefault="00503A85" w:rsidP="00503A85">
      <w:pPr>
        <w:rPr>
          <w:rFonts w:ascii="Gothic720 BT" w:hAnsi="Gothic720 BT"/>
        </w:rPr>
      </w:pPr>
    </w:p>
    <w:p w:rsidR="00503A85" w:rsidRPr="00C77D80" w:rsidRDefault="00503A85" w:rsidP="00503A85">
      <w:pPr>
        <w:spacing w:after="0"/>
        <w:ind w:left="709"/>
        <w:jc w:val="both"/>
        <w:rPr>
          <w:rFonts w:ascii="Gothic720 BT" w:hAnsi="Gothic720 BT"/>
        </w:rPr>
      </w:pPr>
    </w:p>
    <w:p w:rsidR="00503A85" w:rsidRDefault="00503A85" w:rsidP="00503A85"/>
    <w:p w:rsidR="002B52E2" w:rsidRDefault="002B52E2"/>
    <w:sectPr w:rsidR="002B52E2" w:rsidSect="005C5443">
      <w:footerReference w:type="default" r:id="rId8"/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9A" w:rsidRDefault="003E5A9A" w:rsidP="00503A85">
      <w:pPr>
        <w:spacing w:after="0" w:line="240" w:lineRule="auto"/>
      </w:pPr>
      <w:r>
        <w:separator/>
      </w:r>
    </w:p>
  </w:endnote>
  <w:endnote w:type="continuationSeparator" w:id="0">
    <w:p w:rsidR="003E5A9A" w:rsidRDefault="003E5A9A" w:rsidP="005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1157"/>
      <w:docPartObj>
        <w:docPartGallery w:val="Page Numbers (Bottom of Page)"/>
        <w:docPartUnique/>
      </w:docPartObj>
    </w:sdtPr>
    <w:sdtEndPr/>
    <w:sdtContent>
      <w:p w:rsidR="000D1A3C" w:rsidRDefault="002047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18F" w:rsidRPr="00A7118F">
          <w:rPr>
            <w:noProof/>
            <w:lang w:val="es-ES"/>
          </w:rPr>
          <w:t>2</w:t>
        </w:r>
        <w:r>
          <w:fldChar w:fldCharType="end"/>
        </w:r>
      </w:p>
    </w:sdtContent>
  </w:sdt>
  <w:p w:rsidR="000D1A3C" w:rsidRDefault="003E5A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9A" w:rsidRDefault="003E5A9A" w:rsidP="00503A85">
      <w:pPr>
        <w:spacing w:after="0" w:line="240" w:lineRule="auto"/>
      </w:pPr>
      <w:r>
        <w:separator/>
      </w:r>
    </w:p>
  </w:footnote>
  <w:footnote w:type="continuationSeparator" w:id="0">
    <w:p w:rsidR="003E5A9A" w:rsidRDefault="003E5A9A" w:rsidP="00503A85">
      <w:pPr>
        <w:spacing w:after="0" w:line="240" w:lineRule="auto"/>
      </w:pPr>
      <w:r>
        <w:continuationSeparator/>
      </w:r>
    </w:p>
  </w:footnote>
  <w:footnote w:id="1">
    <w:p w:rsidR="00503A85" w:rsidRDefault="00503A85" w:rsidP="00503A85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lo sucesivo las fechas que se mencionan co</w:t>
      </w:r>
      <w:r>
        <w:rPr>
          <w:sz w:val="16"/>
          <w:szCs w:val="16"/>
        </w:rPr>
        <w:t>rresponden al año dos mil veintiuno</w:t>
      </w:r>
      <w:r w:rsidRPr="00EA7D1F">
        <w:rPr>
          <w:sz w:val="16"/>
          <w:szCs w:val="16"/>
        </w:rPr>
        <w:t>, salvo mención diversa.</w:t>
      </w:r>
    </w:p>
  </w:footnote>
  <w:footnote w:id="2">
    <w:p w:rsidR="00503A85" w:rsidRDefault="00503A85" w:rsidP="00503A85">
      <w:pPr>
        <w:pStyle w:val="Textonotapi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En adelante Instituto</w:t>
      </w:r>
      <w:r w:rsidRPr="00572853">
        <w:rPr>
          <w:sz w:val="16"/>
          <w:szCs w:val="16"/>
        </w:rPr>
        <w:t>.</w:t>
      </w:r>
    </w:p>
  </w:footnote>
  <w:footnote w:id="3">
    <w:p w:rsidR="00503A85" w:rsidRDefault="00503A85" w:rsidP="00503A85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adelante Ley Electoral.</w:t>
      </w:r>
    </w:p>
  </w:footnote>
  <w:footnote w:id="4">
    <w:p w:rsidR="00503A85" w:rsidRDefault="00503A85" w:rsidP="00503A85">
      <w:pPr>
        <w:pStyle w:val="Textonotapie"/>
        <w:ind w:firstLine="709"/>
        <w:jc w:val="both"/>
      </w:pPr>
      <w:r w:rsidRPr="00253BBD">
        <w:rPr>
          <w:sz w:val="12"/>
          <w:szCs w:val="12"/>
        </w:rPr>
        <w:footnoteRef/>
      </w:r>
      <w:r w:rsidRPr="00D26DF7">
        <w:rPr>
          <w:sz w:val="16"/>
          <w:szCs w:val="16"/>
        </w:rPr>
        <w:t xml:space="preserve"> En adelante Dirección Ejecutiva.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2CBC"/>
    <w:multiLevelType w:val="hybridMultilevel"/>
    <w:tmpl w:val="E68640E4"/>
    <w:lvl w:ilvl="0" w:tplc="359281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85"/>
    <w:rsid w:val="00016006"/>
    <w:rsid w:val="0020473F"/>
    <w:rsid w:val="0024522A"/>
    <w:rsid w:val="002B52E2"/>
    <w:rsid w:val="003972DC"/>
    <w:rsid w:val="003E5A9A"/>
    <w:rsid w:val="004327E1"/>
    <w:rsid w:val="0049030B"/>
    <w:rsid w:val="00503A85"/>
    <w:rsid w:val="00725FCE"/>
    <w:rsid w:val="007E1960"/>
    <w:rsid w:val="00A7118F"/>
    <w:rsid w:val="00D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85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503A85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503A85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03A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3A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A85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03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A85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97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2DC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85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503A85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503A85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03A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3A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A85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03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A85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972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2D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2</cp:revision>
  <dcterms:created xsi:type="dcterms:W3CDTF">2021-02-25T23:13:00Z</dcterms:created>
  <dcterms:modified xsi:type="dcterms:W3CDTF">2021-02-26T01:04:00Z</dcterms:modified>
</cp:coreProperties>
</file>