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50" w:type="dxa"/>
        <w:jc w:val="right"/>
        <w:tblInd w:w="-4427" w:type="dxa"/>
        <w:tblLayout w:type="fixed"/>
        <w:tblLook w:val="0400" w:firstRow="0" w:lastRow="0" w:firstColumn="0" w:lastColumn="0" w:noHBand="0" w:noVBand="1"/>
      </w:tblPr>
      <w:tblGrid>
        <w:gridCol w:w="5550"/>
      </w:tblGrid>
      <w:tr w:rsidR="008D4D86" w:rsidRPr="00B0011E" w:rsidTr="00D271F1">
        <w:trPr>
          <w:jc w:val="right"/>
        </w:trPr>
        <w:tc>
          <w:tcPr>
            <w:tcW w:w="5550" w:type="dxa"/>
            <w:shd w:val="clear" w:color="auto" w:fill="auto"/>
          </w:tcPr>
          <w:p w:rsidR="008D4D86" w:rsidRPr="00B0011E" w:rsidRDefault="008D4D86" w:rsidP="00D271F1">
            <w:pPr>
              <w:jc w:val="both"/>
              <w:rPr>
                <w:rFonts w:ascii="Gothic720 BT" w:hAnsi="Gothic720 BT"/>
                <w:b/>
              </w:rPr>
            </w:pPr>
            <w:r w:rsidRPr="00B0011E">
              <w:rPr>
                <w:rFonts w:ascii="Gothic720 BT" w:hAnsi="Gothic720 BT"/>
                <w:b/>
              </w:rPr>
              <w:t>PROCEDIMIENTO ORDINARIO SANCIONADOR</w:t>
            </w:r>
          </w:p>
          <w:p w:rsidR="008D4D86" w:rsidRPr="00B0011E" w:rsidRDefault="008D4D86" w:rsidP="00D271F1">
            <w:pPr>
              <w:jc w:val="both"/>
              <w:rPr>
                <w:rFonts w:ascii="Gothic720 BT" w:hAnsi="Gothic720 BT"/>
              </w:rPr>
            </w:pPr>
            <w:r w:rsidRPr="00B0011E">
              <w:rPr>
                <w:rFonts w:ascii="Gothic720 BT" w:hAnsi="Gothic720 BT"/>
                <w:b/>
              </w:rPr>
              <w:t>EXPEDIENTE:</w:t>
            </w:r>
            <w:r w:rsidRPr="00B0011E">
              <w:rPr>
                <w:rFonts w:ascii="Gothic720 BT" w:hAnsi="Gothic720 BT"/>
              </w:rPr>
              <w:t xml:space="preserve"> IEEQ/POS/004</w:t>
            </w:r>
            <w:r w:rsidRPr="00B0011E">
              <w:rPr>
                <w:rFonts w:ascii="Gothic720 BT" w:hAnsi="Gothic720 BT"/>
              </w:rPr>
              <w:t>/2020-P</w:t>
            </w:r>
          </w:p>
          <w:p w:rsidR="008D4D86" w:rsidRPr="00B0011E" w:rsidRDefault="008D4D86" w:rsidP="00D271F1">
            <w:pPr>
              <w:jc w:val="both"/>
              <w:rPr>
                <w:rFonts w:ascii="Gothic720 BT" w:hAnsi="Gothic720 BT"/>
              </w:rPr>
            </w:pPr>
            <w:r w:rsidRPr="00B0011E">
              <w:rPr>
                <w:rFonts w:ascii="Gothic720 BT" w:hAnsi="Gothic720 BT"/>
                <w:b/>
              </w:rPr>
              <w:t>DENUNCIANTE:</w:t>
            </w:r>
            <w:r w:rsidRPr="00B0011E">
              <w:rPr>
                <w:rFonts w:ascii="Gothic720 BT" w:hAnsi="Gothic720 BT"/>
              </w:rPr>
              <w:t xml:space="preserve"> PROCEDIMIENTO QUE SE INICIA DE OFICIO CON BASE EN LA VISTA REALIZADA POR EL INSTITUTO NACIONAL ELECTORAL.</w:t>
            </w:r>
          </w:p>
          <w:p w:rsidR="008D4D86" w:rsidRPr="00B0011E" w:rsidRDefault="008D4D86" w:rsidP="00D271F1">
            <w:pPr>
              <w:jc w:val="both"/>
              <w:rPr>
                <w:rFonts w:ascii="Gothic720 BT" w:hAnsi="Gothic720 BT"/>
              </w:rPr>
            </w:pPr>
            <w:r w:rsidRPr="00B0011E">
              <w:rPr>
                <w:rFonts w:ascii="Gothic720 BT" w:hAnsi="Gothic720 BT"/>
                <w:b/>
              </w:rPr>
              <w:t xml:space="preserve">DENUNCIADO: </w:t>
            </w:r>
            <w:r w:rsidRPr="00B0011E">
              <w:rPr>
                <w:rFonts w:ascii="Gothic720 BT" w:hAnsi="Gothic720 BT"/>
              </w:rPr>
              <w:t>PARTIDO MOVIMIENTO CIUDADANO</w:t>
            </w:r>
            <w:r w:rsidRPr="00B0011E">
              <w:rPr>
                <w:rFonts w:ascii="Gothic720 BT" w:hAnsi="Gothic720 BT"/>
              </w:rPr>
              <w:t>.</w:t>
            </w:r>
          </w:p>
          <w:p w:rsidR="008D4D86" w:rsidRPr="00B0011E" w:rsidRDefault="008D4D86" w:rsidP="00D271F1">
            <w:pPr>
              <w:spacing w:after="0"/>
              <w:jc w:val="both"/>
              <w:rPr>
                <w:rFonts w:ascii="Gothic720 BT" w:hAnsi="Gothic720 BT"/>
              </w:rPr>
            </w:pPr>
            <w:r w:rsidRPr="00B0011E">
              <w:rPr>
                <w:rFonts w:ascii="Gothic720 BT" w:hAnsi="Gothic720 BT"/>
                <w:b/>
              </w:rPr>
              <w:t>ASUNTO:</w:t>
            </w:r>
            <w:r w:rsidR="008C3E11">
              <w:rPr>
                <w:rFonts w:ascii="Gothic720 BT" w:hAnsi="Gothic720 BT"/>
              </w:rPr>
              <w:t xml:space="preserve"> RECEPCIÓN</w:t>
            </w:r>
            <w:r w:rsidRPr="00B0011E">
              <w:rPr>
                <w:rFonts w:ascii="Gothic720 BT" w:hAnsi="Gothic720 BT"/>
              </w:rPr>
              <w:t>.</w:t>
            </w:r>
          </w:p>
          <w:p w:rsidR="008D4D86" w:rsidRPr="00B0011E" w:rsidRDefault="008D4D86" w:rsidP="00D271F1">
            <w:pPr>
              <w:spacing w:after="0"/>
              <w:jc w:val="both"/>
              <w:rPr>
                <w:rFonts w:ascii="Gothic720 BT" w:hAnsi="Gothic720 BT"/>
              </w:rPr>
            </w:pPr>
          </w:p>
        </w:tc>
      </w:tr>
    </w:tbl>
    <w:p w:rsidR="008D4D86" w:rsidRPr="00B0011E" w:rsidRDefault="008D4D86" w:rsidP="008D4D86">
      <w:pPr>
        <w:tabs>
          <w:tab w:val="left" w:pos="142"/>
          <w:tab w:val="left" w:pos="709"/>
        </w:tabs>
        <w:spacing w:after="0"/>
        <w:ind w:left="709"/>
        <w:jc w:val="both"/>
        <w:rPr>
          <w:rFonts w:ascii="Gothic720 BT" w:eastAsia="Calibri" w:hAnsi="Gothic720 BT" w:cs="Calibri"/>
        </w:rPr>
      </w:pPr>
      <w:r w:rsidRPr="00B0011E">
        <w:rPr>
          <w:rFonts w:ascii="Gothic720 BT" w:eastAsia="Calibri" w:hAnsi="Gothic720 BT" w:cs="Calibri"/>
        </w:rPr>
        <w:t xml:space="preserve">Santiago de Querétaro, Querétaro, </w:t>
      </w:r>
      <w:r w:rsidRPr="00B0011E">
        <w:rPr>
          <w:rFonts w:ascii="Gothic720 BT" w:eastAsia="Calibri" w:hAnsi="Gothic720 BT" w:cs="Calibri"/>
        </w:rPr>
        <w:t>veinticinco</w:t>
      </w:r>
      <w:r w:rsidRPr="00B0011E">
        <w:rPr>
          <w:rFonts w:ascii="Gothic720 BT" w:eastAsia="Calibri" w:hAnsi="Gothic720 BT" w:cs="Calibri"/>
        </w:rPr>
        <w:t xml:space="preserve"> de enero de dos mil veintiuno.</w:t>
      </w:r>
      <w:r w:rsidRPr="00B0011E">
        <w:rPr>
          <w:rStyle w:val="Refdenotaalpie"/>
          <w:rFonts w:ascii="Gothic720 BT" w:eastAsia="Calibri" w:hAnsi="Gothic720 BT" w:cs="Calibri"/>
        </w:rPr>
        <w:footnoteReference w:id="1"/>
      </w:r>
    </w:p>
    <w:p w:rsidR="008D4D86" w:rsidRPr="00B0011E" w:rsidRDefault="008D4D86" w:rsidP="008D4D86">
      <w:pPr>
        <w:tabs>
          <w:tab w:val="left" w:pos="0"/>
          <w:tab w:val="left" w:pos="142"/>
          <w:tab w:val="left" w:pos="7655"/>
          <w:tab w:val="left" w:pos="9356"/>
        </w:tabs>
        <w:spacing w:after="0"/>
        <w:ind w:left="709" w:hanging="142"/>
        <w:jc w:val="both"/>
        <w:rPr>
          <w:rFonts w:ascii="Gothic720 BT" w:eastAsia="Calibri" w:hAnsi="Gothic720 BT" w:cs="Calibri"/>
        </w:rPr>
      </w:pPr>
    </w:p>
    <w:p w:rsidR="008D4D86" w:rsidRPr="00B0011E" w:rsidRDefault="008D4D86" w:rsidP="008D4D86">
      <w:pPr>
        <w:spacing w:after="0"/>
        <w:ind w:left="709"/>
        <w:jc w:val="both"/>
        <w:rPr>
          <w:rFonts w:ascii="Gothic720 BT" w:eastAsia="Calibri" w:hAnsi="Gothic720 BT" w:cs="Calibri"/>
        </w:rPr>
      </w:pPr>
      <w:r w:rsidRPr="00B0011E">
        <w:rPr>
          <w:rFonts w:ascii="Gothic720 BT" w:eastAsia="Calibri" w:hAnsi="Gothic720 BT" w:cs="Calibri"/>
          <w:b/>
        </w:rPr>
        <w:t xml:space="preserve">VISTA </w:t>
      </w:r>
      <w:r w:rsidRPr="00B0011E">
        <w:rPr>
          <w:rFonts w:ascii="Gothic720 BT" w:eastAsia="Calibri" w:hAnsi="Gothic720 BT" w:cs="Calibri"/>
        </w:rPr>
        <w:t>la respuesta al oficio</w:t>
      </w:r>
      <w:r w:rsidRPr="00B0011E">
        <w:rPr>
          <w:rFonts w:ascii="Gothic720 BT" w:eastAsia="Calibri" w:hAnsi="Gothic720 BT" w:cs="Calibri"/>
        </w:rPr>
        <w:t xml:space="preserve"> SE/1812</w:t>
      </w:r>
      <w:r w:rsidRPr="00B0011E">
        <w:rPr>
          <w:rFonts w:ascii="Gothic720 BT" w:eastAsia="Calibri" w:hAnsi="Gothic720 BT" w:cs="Calibri"/>
        </w:rPr>
        <w:t>/20 con clave de</w:t>
      </w:r>
      <w:r w:rsidRPr="00B0011E">
        <w:rPr>
          <w:rFonts w:ascii="Gothic720 BT" w:eastAsia="Calibri" w:hAnsi="Gothic720 BT" w:cs="Calibri"/>
        </w:rPr>
        <w:t xml:space="preserve"> referencia   OFICIO/QRO/2020/101</w:t>
      </w:r>
      <w:r w:rsidRPr="00B0011E">
        <w:rPr>
          <w:rFonts w:ascii="Gothic720 BT" w:eastAsia="Calibri" w:hAnsi="Gothic720 BT" w:cs="Calibri"/>
        </w:rPr>
        <w:t xml:space="preserve">, recibido a través del </w:t>
      </w:r>
      <w:r w:rsidRPr="00B0011E">
        <w:rPr>
          <w:rFonts w:ascii="Gothic720 BT" w:hAnsi="Gothic720 BT"/>
        </w:rPr>
        <w:t>Sistema de Vinculación con los Organismos Públicos Locales Electorales</w:t>
      </w:r>
      <w:r w:rsidRPr="00B0011E">
        <w:rPr>
          <w:rFonts w:ascii="Gothic720 BT" w:eastAsia="Calibri" w:hAnsi="Gothic720 BT" w:cs="Calibri"/>
        </w:rPr>
        <w:t>; con fundamento en los artículos 77, fracciones V y XIV de la Ley Electoral del Estado de Querétaro,</w:t>
      </w:r>
      <w:r w:rsidRPr="00B0011E">
        <w:rPr>
          <w:rStyle w:val="Refdenotaalpie"/>
          <w:rFonts w:ascii="Gothic720 BT" w:eastAsia="Calibri" w:hAnsi="Gothic720 BT" w:cs="Calibri"/>
        </w:rPr>
        <w:footnoteReference w:id="2"/>
      </w:r>
      <w:r w:rsidRPr="00B0011E">
        <w:rPr>
          <w:rFonts w:ascii="Gothic720 BT" w:eastAsia="Calibri" w:hAnsi="Gothic720 BT" w:cs="Calibri"/>
        </w:rPr>
        <w:t xml:space="preserve"> y 44, fracción II, inciso i) del Reglamento Interior del Instituto; la Dirección Ejecutiva de Asuntos Jurídicos</w:t>
      </w:r>
      <w:r w:rsidRPr="00B0011E">
        <w:rPr>
          <w:rStyle w:val="Refdenotaalpie"/>
          <w:rFonts w:ascii="Gothic720 BT" w:eastAsia="Calibri" w:hAnsi="Gothic720 BT" w:cs="Calibri"/>
        </w:rPr>
        <w:footnoteReference w:id="3"/>
      </w:r>
      <w:r w:rsidRPr="00B0011E">
        <w:rPr>
          <w:rFonts w:ascii="Gothic720 BT" w:eastAsia="Calibri" w:hAnsi="Gothic720 BT" w:cs="Calibri"/>
        </w:rPr>
        <w:t xml:space="preserve"> del Instituto </w:t>
      </w:r>
      <w:r w:rsidRPr="00B0011E">
        <w:rPr>
          <w:rFonts w:ascii="Gothic720 BT" w:eastAsia="Calibri" w:hAnsi="Gothic720 BT" w:cs="Calibri"/>
          <w:b/>
        </w:rPr>
        <w:t>ACUERDA</w:t>
      </w:r>
      <w:r w:rsidRPr="00B0011E">
        <w:rPr>
          <w:rFonts w:ascii="Gothic720 BT" w:eastAsia="Calibri" w:hAnsi="Gothic720 BT" w:cs="Calibri"/>
        </w:rPr>
        <w:t>:</w:t>
      </w:r>
    </w:p>
    <w:p w:rsidR="008D4D86" w:rsidRPr="00B0011E" w:rsidRDefault="008D4D86" w:rsidP="008D4D86">
      <w:pPr>
        <w:spacing w:after="0"/>
        <w:ind w:left="709"/>
        <w:jc w:val="both"/>
        <w:rPr>
          <w:rFonts w:ascii="Gothic720 BT" w:eastAsia="Calibri" w:hAnsi="Gothic720 BT" w:cs="Calibri"/>
        </w:rPr>
      </w:pPr>
    </w:p>
    <w:p w:rsidR="008D4D86" w:rsidRPr="00365813" w:rsidRDefault="008D4D86" w:rsidP="00365813">
      <w:pPr>
        <w:spacing w:after="0"/>
        <w:ind w:left="709"/>
        <w:jc w:val="both"/>
        <w:rPr>
          <w:rFonts w:ascii="Gothic720 BT" w:eastAsia="Times New Roman" w:hAnsi="Gothic720 BT" w:cs="Times New Roman"/>
          <w:b/>
          <w:bCs/>
          <w:lang w:val="es-ES" w:eastAsia="es-MX"/>
        </w:rPr>
      </w:pPr>
      <w:r w:rsidRPr="00B0011E">
        <w:rPr>
          <w:rFonts w:ascii="Gothic720 BT" w:eastAsia="Calibri" w:hAnsi="Gothic720 BT" w:cs="Calibri"/>
          <w:b/>
        </w:rPr>
        <w:t>PRIMERO.</w:t>
      </w:r>
      <w:r w:rsidR="00365813">
        <w:rPr>
          <w:rFonts w:ascii="Gothic720 BT" w:eastAsia="Times New Roman" w:hAnsi="Gothic720 BT" w:cs="Times New Roman"/>
          <w:b/>
          <w:bCs/>
          <w:lang w:val="es-ES" w:eastAsia="es-MX"/>
        </w:rPr>
        <w:t xml:space="preserve"> Recepción. </w:t>
      </w:r>
      <w:r w:rsidRPr="00B0011E">
        <w:rPr>
          <w:rFonts w:ascii="Gothic720 BT" w:eastAsia="Times New Roman" w:hAnsi="Gothic720 BT" w:cs="Times New Roman"/>
          <w:bCs/>
          <w:lang w:val="es-ES" w:eastAsia="es-MX"/>
        </w:rPr>
        <w:t xml:space="preserve">Se tiene por recibida la respuesta al oficio de cuenta, </w:t>
      </w:r>
      <w:r w:rsidRPr="00B0011E">
        <w:rPr>
          <w:rFonts w:ascii="Gothic720 BT" w:eastAsia="Calibri" w:hAnsi="Gothic720 BT" w:cs="Calibri"/>
        </w:rPr>
        <w:t xml:space="preserve">que consta de tres fojas, mediante el </w:t>
      </w:r>
      <w:r w:rsidRPr="00B0011E">
        <w:rPr>
          <w:rFonts w:ascii="Gothic720 BT" w:eastAsia="Calibri" w:hAnsi="Gothic720 BT" w:cs="Calibri"/>
        </w:rPr>
        <w:t xml:space="preserve">cual la Unidad Técnica de Vinculación con los Organismos Públicos Locales, </w:t>
      </w:r>
      <w:r w:rsidRPr="00B0011E">
        <w:rPr>
          <w:rFonts w:ascii="Gothic720 BT" w:eastAsia="Calibri" w:hAnsi="Gothic720 BT" w:cs="Calibri"/>
        </w:rPr>
        <w:t xml:space="preserve">informó </w:t>
      </w:r>
      <w:r w:rsidR="008C3E11">
        <w:rPr>
          <w:rFonts w:ascii="Gothic720 BT" w:eastAsia="Calibri" w:hAnsi="Gothic720 BT" w:cs="Calibri"/>
        </w:rPr>
        <w:t xml:space="preserve">que fue atendido </w:t>
      </w:r>
      <w:r w:rsidR="00B0011E" w:rsidRPr="00B0011E">
        <w:rPr>
          <w:rFonts w:ascii="Gothic720 BT" w:eastAsia="Calibri" w:hAnsi="Gothic720 BT" w:cs="Calibri"/>
        </w:rPr>
        <w:t>lo solicitado mediante el oficio citado, consistente en la deducción</w:t>
      </w:r>
      <w:r w:rsidRPr="00B0011E">
        <w:rPr>
          <w:rFonts w:ascii="Gothic720 BT" w:eastAsia="Calibri" w:hAnsi="Gothic720 BT" w:cs="Calibri"/>
        </w:rPr>
        <w:t xml:space="preserve"> </w:t>
      </w:r>
      <w:r w:rsidR="00B0011E" w:rsidRPr="00B0011E">
        <w:rPr>
          <w:rFonts w:ascii="Gothic720 BT" w:eastAsia="Calibri" w:hAnsi="Gothic720 BT" w:cs="Calibri"/>
        </w:rPr>
        <w:t xml:space="preserve">realizada </w:t>
      </w:r>
      <w:r w:rsidRPr="00B0011E">
        <w:rPr>
          <w:rFonts w:ascii="Gothic720 BT" w:eastAsia="Calibri" w:hAnsi="Gothic720 BT" w:cs="Calibri"/>
        </w:rPr>
        <w:t>al Partido</w:t>
      </w:r>
      <w:r w:rsidR="00B0011E" w:rsidRPr="00B0011E">
        <w:rPr>
          <w:rFonts w:ascii="Gothic720 BT" w:eastAsia="Calibri" w:hAnsi="Gothic720 BT" w:cs="Calibri"/>
        </w:rPr>
        <w:t xml:space="preserve"> Movimiento Ciudadano</w:t>
      </w:r>
      <w:r w:rsidRPr="00B0011E">
        <w:rPr>
          <w:rFonts w:ascii="Gothic720 BT" w:eastAsia="Calibri" w:hAnsi="Gothic720 BT" w:cs="Calibri"/>
        </w:rPr>
        <w:t>, con motivo de la sanción impuest</w:t>
      </w:r>
      <w:r w:rsidR="00B0011E" w:rsidRPr="00B0011E">
        <w:rPr>
          <w:rFonts w:ascii="Gothic720 BT" w:eastAsia="Calibri" w:hAnsi="Gothic720 BT" w:cs="Calibri"/>
        </w:rPr>
        <w:t>a en la resolución IEEQ/CG/R/009</w:t>
      </w:r>
      <w:r w:rsidRPr="00B0011E">
        <w:rPr>
          <w:rFonts w:ascii="Gothic720 BT" w:eastAsia="Calibri" w:hAnsi="Gothic720 BT" w:cs="Calibri"/>
        </w:rPr>
        <w:t xml:space="preserve">/20. </w:t>
      </w:r>
    </w:p>
    <w:p w:rsidR="008D4D86" w:rsidRPr="00B0011E" w:rsidRDefault="008D4D86" w:rsidP="008D4D86">
      <w:pPr>
        <w:spacing w:after="0"/>
        <w:ind w:left="709"/>
        <w:jc w:val="both"/>
        <w:rPr>
          <w:rFonts w:ascii="Gothic720 BT" w:eastAsia="Times New Roman" w:hAnsi="Gothic720 BT" w:cs="Times New Roman"/>
          <w:bCs/>
          <w:lang w:val="es-ES" w:eastAsia="es-MX"/>
        </w:rPr>
      </w:pPr>
    </w:p>
    <w:p w:rsidR="008D4D86" w:rsidRPr="00B0011E" w:rsidRDefault="008D4D86" w:rsidP="008D4D86">
      <w:pPr>
        <w:spacing w:after="0"/>
        <w:ind w:left="709"/>
        <w:jc w:val="both"/>
        <w:rPr>
          <w:rFonts w:ascii="Gothic720 BT" w:eastAsia="Times New Roman" w:hAnsi="Gothic720 BT" w:cs="Times New Roman"/>
          <w:bCs/>
          <w:lang w:val="es-ES" w:eastAsia="es-MX"/>
        </w:rPr>
      </w:pPr>
      <w:r w:rsidRPr="00B0011E">
        <w:rPr>
          <w:rFonts w:ascii="Gothic720 BT" w:eastAsia="Times New Roman" w:hAnsi="Gothic720 BT" w:cs="Times New Roman"/>
          <w:bCs/>
          <w:lang w:val="es-ES" w:eastAsia="es-MX"/>
        </w:rPr>
        <w:t>Documentos que se ordena agregar a los autos del expediente para que obren como corresponda.</w:t>
      </w:r>
    </w:p>
    <w:p w:rsidR="008D4D86" w:rsidRPr="00B0011E" w:rsidRDefault="008D4D86" w:rsidP="008D4D86">
      <w:pPr>
        <w:pStyle w:val="Prrafodelista"/>
        <w:spacing w:after="0"/>
        <w:ind w:left="1069"/>
        <w:jc w:val="both"/>
        <w:rPr>
          <w:rFonts w:ascii="Gothic720 BT" w:eastAsia="Times New Roman" w:hAnsi="Gothic720 BT" w:cs="Times New Roman"/>
          <w:bCs/>
          <w:lang w:val="es-ES" w:eastAsia="es-MX"/>
        </w:rPr>
      </w:pPr>
    </w:p>
    <w:p w:rsidR="008D4D86" w:rsidRPr="00B0011E" w:rsidRDefault="008D4D86" w:rsidP="008D4D86">
      <w:pPr>
        <w:spacing w:after="0"/>
        <w:ind w:left="709"/>
        <w:jc w:val="both"/>
        <w:rPr>
          <w:rFonts w:ascii="Gothic720 BT" w:hAnsi="Gothic720 BT"/>
        </w:rPr>
      </w:pPr>
      <w:r w:rsidRPr="00B0011E">
        <w:rPr>
          <w:rFonts w:ascii="Gothic720 BT" w:eastAsia="Calibri" w:hAnsi="Gothic720 BT" w:cs="Calibri"/>
          <w:b/>
        </w:rPr>
        <w:lastRenderedPageBreak/>
        <w:t>Notifíquese por estrados, con fundamento en los art</w:t>
      </w:r>
      <w:r w:rsidR="008C3E11">
        <w:rPr>
          <w:rFonts w:ascii="Gothic720 BT" w:eastAsia="Calibri" w:hAnsi="Gothic720 BT" w:cs="Calibri"/>
          <w:b/>
        </w:rPr>
        <w:t>ículos 3 de la Ley Electoral; 48</w:t>
      </w:r>
      <w:r w:rsidRPr="00B0011E">
        <w:rPr>
          <w:rFonts w:ascii="Gothic720 BT" w:eastAsia="Calibri" w:hAnsi="Gothic720 BT" w:cs="Calibri"/>
          <w:b/>
        </w:rPr>
        <w:t>,</w:t>
      </w:r>
      <w:r w:rsidR="00B0011E" w:rsidRPr="00B0011E">
        <w:rPr>
          <w:rFonts w:ascii="Gothic720 BT" w:eastAsia="Calibri" w:hAnsi="Gothic720 BT" w:cs="Calibri"/>
          <w:b/>
        </w:rPr>
        <w:t xml:space="preserve"> fracción </w:t>
      </w:r>
      <w:r w:rsidR="00365813">
        <w:rPr>
          <w:rFonts w:ascii="Gothic720 BT" w:eastAsia="Calibri" w:hAnsi="Gothic720 BT" w:cs="Calibri"/>
          <w:b/>
        </w:rPr>
        <w:t>I</w:t>
      </w:r>
      <w:r w:rsidR="008C3E11">
        <w:rPr>
          <w:rFonts w:ascii="Gothic720 BT" w:eastAsia="Calibri" w:hAnsi="Gothic720 BT" w:cs="Calibri"/>
          <w:b/>
        </w:rPr>
        <w:t>I</w:t>
      </w:r>
      <w:r w:rsidRPr="00B0011E">
        <w:rPr>
          <w:rFonts w:ascii="Gothic720 BT" w:eastAsia="Calibri" w:hAnsi="Gothic720 BT" w:cs="Calibri"/>
          <w:b/>
        </w:rPr>
        <w:t>,</w:t>
      </w:r>
      <w:r w:rsidR="00B0011E" w:rsidRPr="00B0011E">
        <w:rPr>
          <w:rFonts w:ascii="Gothic720 BT" w:eastAsia="Calibri" w:hAnsi="Gothic720 BT" w:cs="Calibri"/>
          <w:b/>
        </w:rPr>
        <w:t xml:space="preserve"> </w:t>
      </w:r>
      <w:r w:rsidR="00F77AD8">
        <w:rPr>
          <w:rFonts w:ascii="Gothic720 BT" w:eastAsia="Calibri" w:hAnsi="Gothic720 BT" w:cs="Calibri"/>
          <w:b/>
        </w:rPr>
        <w:t>50</w:t>
      </w:r>
      <w:r w:rsidR="00B0011E" w:rsidRPr="00B0011E">
        <w:rPr>
          <w:rFonts w:ascii="Gothic720 BT" w:eastAsia="Calibri" w:hAnsi="Gothic720 BT" w:cs="Calibri"/>
          <w:b/>
        </w:rPr>
        <w:t xml:space="preserve"> y 56 fracción </w:t>
      </w:r>
      <w:r w:rsidR="00F77AD8">
        <w:rPr>
          <w:rFonts w:ascii="Gothic720 BT" w:eastAsia="Calibri" w:hAnsi="Gothic720 BT" w:cs="Calibri"/>
          <w:b/>
        </w:rPr>
        <w:t>III</w:t>
      </w:r>
      <w:r w:rsidRPr="00B0011E">
        <w:rPr>
          <w:rFonts w:ascii="Gothic720 BT" w:eastAsia="Calibri" w:hAnsi="Gothic720 BT" w:cs="Calibri"/>
          <w:b/>
        </w:rPr>
        <w:t xml:space="preserve"> de la Ley de Medios de Impugnación en Materia Electoral del Estado de Querétaro</w:t>
      </w:r>
      <w:r w:rsidRPr="00B0011E">
        <w:rPr>
          <w:rFonts w:ascii="Gothic720 BT" w:eastAsia="Calibri" w:hAnsi="Gothic720 BT" w:cs="Calibri"/>
        </w:rPr>
        <w:t>.</w:t>
      </w:r>
    </w:p>
    <w:p w:rsidR="008D4D86" w:rsidRPr="00B0011E" w:rsidRDefault="008D4D86" w:rsidP="008D4D86">
      <w:pPr>
        <w:spacing w:after="0"/>
        <w:ind w:left="709"/>
        <w:jc w:val="both"/>
        <w:rPr>
          <w:rFonts w:ascii="Gothic720 BT" w:eastAsia="Calibri" w:hAnsi="Gothic720 BT" w:cs="Calibri"/>
        </w:rPr>
      </w:pPr>
    </w:p>
    <w:p w:rsidR="008D4D86" w:rsidRPr="00B0011E" w:rsidRDefault="008D4D86" w:rsidP="008D4D86">
      <w:pPr>
        <w:spacing w:after="0"/>
        <w:ind w:left="709"/>
        <w:jc w:val="both"/>
        <w:rPr>
          <w:rFonts w:ascii="Gothic720 BT" w:hAnsi="Gothic720 BT"/>
        </w:rPr>
      </w:pPr>
      <w:r w:rsidRPr="00B0011E">
        <w:rPr>
          <w:rFonts w:ascii="Gothic720 BT" w:eastAsia="Calibri" w:hAnsi="Gothic720 BT" w:cs="Calibri"/>
        </w:rPr>
        <w:t xml:space="preserve">Así lo proveyó y firmó el Director Ejecutivo de Asuntos Jurídicos del Instituto Electoral del Estado de Querétaro, quien autoriza. </w:t>
      </w:r>
      <w:r w:rsidRPr="00B0011E">
        <w:rPr>
          <w:rFonts w:ascii="Gothic720 BT" w:eastAsia="Calibri" w:hAnsi="Gothic720 BT" w:cs="Calibri"/>
          <w:b/>
        </w:rPr>
        <w:t>CONSTE</w:t>
      </w:r>
      <w:r w:rsidRPr="00B0011E">
        <w:rPr>
          <w:rFonts w:ascii="Gothic720 BT" w:eastAsia="Calibri" w:hAnsi="Gothic720 BT" w:cs="Calibri"/>
        </w:rPr>
        <w:t>.</w:t>
      </w:r>
    </w:p>
    <w:p w:rsidR="008D4D86" w:rsidRPr="00B0011E" w:rsidRDefault="008D4D86" w:rsidP="008D4D86">
      <w:pPr>
        <w:tabs>
          <w:tab w:val="left" w:pos="0"/>
          <w:tab w:val="left" w:pos="142"/>
        </w:tabs>
        <w:spacing w:after="0"/>
        <w:rPr>
          <w:rFonts w:ascii="Gothic720 BT" w:eastAsia="Calibri" w:hAnsi="Gothic720 BT" w:cs="Calibri"/>
          <w:b/>
        </w:rPr>
      </w:pPr>
    </w:p>
    <w:p w:rsidR="008D4D86" w:rsidRDefault="008D4D86" w:rsidP="008D4D86">
      <w:pPr>
        <w:tabs>
          <w:tab w:val="left" w:pos="0"/>
          <w:tab w:val="left" w:pos="142"/>
        </w:tabs>
        <w:spacing w:after="0"/>
        <w:ind w:left="709"/>
        <w:jc w:val="center"/>
        <w:rPr>
          <w:rFonts w:ascii="Gothic720 BT" w:eastAsia="Calibri" w:hAnsi="Gothic720 BT" w:cs="Calibri"/>
          <w:b/>
        </w:rPr>
      </w:pPr>
    </w:p>
    <w:p w:rsidR="00657DE5" w:rsidRPr="00B0011E" w:rsidRDefault="00657DE5" w:rsidP="008D4D86">
      <w:pPr>
        <w:tabs>
          <w:tab w:val="left" w:pos="0"/>
          <w:tab w:val="left" w:pos="142"/>
        </w:tabs>
        <w:spacing w:after="0"/>
        <w:ind w:left="709"/>
        <w:jc w:val="center"/>
        <w:rPr>
          <w:rFonts w:ascii="Gothic720 BT" w:eastAsia="Calibri" w:hAnsi="Gothic720 BT" w:cs="Calibri"/>
          <w:b/>
        </w:rPr>
      </w:pPr>
    </w:p>
    <w:p w:rsidR="008D4D86" w:rsidRPr="00B0011E" w:rsidRDefault="008D4D86" w:rsidP="008D4D86">
      <w:pPr>
        <w:tabs>
          <w:tab w:val="left" w:pos="0"/>
          <w:tab w:val="left" w:pos="142"/>
        </w:tabs>
        <w:spacing w:after="0"/>
        <w:ind w:left="709"/>
        <w:jc w:val="center"/>
        <w:rPr>
          <w:rFonts w:ascii="Gothic720 BT" w:eastAsia="Calibri" w:hAnsi="Gothic720 BT" w:cs="Calibri"/>
          <w:b/>
        </w:rPr>
      </w:pPr>
      <w:r w:rsidRPr="00B0011E">
        <w:rPr>
          <w:rFonts w:ascii="Gothic720 BT" w:eastAsia="Calibri" w:hAnsi="Gothic720 BT" w:cs="Calibri"/>
          <w:b/>
        </w:rPr>
        <w:t>Dr. Juan Rivera Hernández</w:t>
      </w:r>
    </w:p>
    <w:p w:rsidR="008D4D86" w:rsidRPr="00B0011E" w:rsidRDefault="008D4D86" w:rsidP="008D4D86">
      <w:pPr>
        <w:tabs>
          <w:tab w:val="left" w:pos="0"/>
          <w:tab w:val="left" w:pos="142"/>
        </w:tabs>
        <w:spacing w:after="0"/>
        <w:ind w:left="709"/>
        <w:jc w:val="center"/>
        <w:rPr>
          <w:rFonts w:ascii="Gothic720 BT" w:eastAsia="Calibri" w:hAnsi="Gothic720 BT" w:cs="Calibri"/>
        </w:rPr>
      </w:pPr>
      <w:r w:rsidRPr="00B0011E">
        <w:rPr>
          <w:rFonts w:ascii="Gothic720 BT" w:eastAsia="Calibri" w:hAnsi="Gothic720 BT" w:cs="Calibri"/>
        </w:rPr>
        <w:t>Director Ejecutivo de Asuntos Jurídicos</w:t>
      </w:r>
    </w:p>
    <w:tbl>
      <w:tblPr>
        <w:tblStyle w:val="Tablaconcuadrcula"/>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8D4D86" w:rsidRPr="00B0011E" w:rsidTr="00D271F1">
        <w:tc>
          <w:tcPr>
            <w:tcW w:w="5468" w:type="dxa"/>
          </w:tcPr>
          <w:p w:rsidR="008D4D86" w:rsidRPr="00B0011E" w:rsidRDefault="008D4D86"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B0011E" w:rsidRPr="00B0011E" w:rsidRDefault="00B0011E" w:rsidP="00D271F1">
            <w:pPr>
              <w:jc w:val="both"/>
              <w:rPr>
                <w:rFonts w:ascii="Gothic720 BT" w:hAnsi="Gothic720 BT"/>
                <w:b/>
              </w:rPr>
            </w:pPr>
          </w:p>
          <w:p w:rsidR="008D4D86" w:rsidRPr="00B0011E" w:rsidRDefault="008D4D86" w:rsidP="00D271F1">
            <w:pPr>
              <w:jc w:val="both"/>
              <w:rPr>
                <w:rFonts w:ascii="Gothic720 BT" w:hAnsi="Gothic720 BT"/>
                <w:b/>
              </w:rPr>
            </w:pPr>
          </w:p>
          <w:p w:rsidR="008D4D86" w:rsidRPr="00B0011E" w:rsidRDefault="008D4D86" w:rsidP="00D271F1">
            <w:pPr>
              <w:jc w:val="both"/>
              <w:rPr>
                <w:rFonts w:ascii="Gothic720 BT" w:hAnsi="Gothic720 BT"/>
                <w:b/>
              </w:rPr>
            </w:pPr>
            <w:r w:rsidRPr="00B0011E">
              <w:rPr>
                <w:rFonts w:ascii="Gothic720 BT" w:hAnsi="Gothic720 BT"/>
                <w:b/>
              </w:rPr>
              <w:t>PROCEDIMIENTO ORDINARIO SANCIONADOR</w:t>
            </w:r>
          </w:p>
          <w:p w:rsidR="008D4D86" w:rsidRPr="00B0011E" w:rsidRDefault="008D4D86" w:rsidP="00D271F1">
            <w:pPr>
              <w:jc w:val="both"/>
              <w:rPr>
                <w:rFonts w:ascii="Gothic720 BT" w:hAnsi="Gothic720 BT"/>
                <w:b/>
              </w:rPr>
            </w:pPr>
          </w:p>
          <w:p w:rsidR="008D4D86" w:rsidRPr="00B0011E" w:rsidRDefault="008D4D86" w:rsidP="00D271F1">
            <w:pPr>
              <w:jc w:val="both"/>
              <w:rPr>
                <w:rFonts w:ascii="Gothic720 BT" w:hAnsi="Gothic720 BT"/>
              </w:rPr>
            </w:pPr>
            <w:r w:rsidRPr="00B0011E">
              <w:rPr>
                <w:rFonts w:ascii="Gothic720 BT" w:hAnsi="Gothic720 BT"/>
                <w:b/>
              </w:rPr>
              <w:t>EXPEDIENTE:</w:t>
            </w:r>
            <w:r w:rsidR="00B0011E">
              <w:rPr>
                <w:rFonts w:ascii="Gothic720 BT" w:hAnsi="Gothic720 BT"/>
              </w:rPr>
              <w:t xml:space="preserve"> IEEQ/POS/004</w:t>
            </w:r>
            <w:r w:rsidRPr="00B0011E">
              <w:rPr>
                <w:rFonts w:ascii="Gothic720 BT" w:hAnsi="Gothic720 BT"/>
              </w:rPr>
              <w:t>/2020-P</w:t>
            </w:r>
          </w:p>
          <w:p w:rsidR="008D4D86" w:rsidRPr="00B0011E" w:rsidRDefault="008D4D86" w:rsidP="00D271F1">
            <w:pPr>
              <w:jc w:val="both"/>
              <w:rPr>
                <w:rFonts w:ascii="Gothic720 BT" w:hAnsi="Gothic720 BT"/>
              </w:rPr>
            </w:pPr>
          </w:p>
          <w:p w:rsidR="008D4D86" w:rsidRPr="00B0011E" w:rsidRDefault="008D4D86" w:rsidP="00D271F1">
            <w:pPr>
              <w:jc w:val="both"/>
              <w:rPr>
                <w:rFonts w:ascii="Gothic720 BT" w:hAnsi="Gothic720 BT"/>
              </w:rPr>
            </w:pPr>
            <w:r w:rsidRPr="00B0011E">
              <w:rPr>
                <w:rFonts w:ascii="Gothic720 BT" w:hAnsi="Gothic720 BT"/>
                <w:b/>
              </w:rPr>
              <w:t>DENUNCIANTE:</w:t>
            </w:r>
            <w:r w:rsidRPr="00B0011E">
              <w:rPr>
                <w:rFonts w:ascii="Gothic720 BT" w:hAnsi="Gothic720 BT"/>
              </w:rPr>
              <w:t xml:space="preserve"> PROCEDIMIENTO QUE SE INICIA DE OFICIO CON BASE EN LA VISTA REALIZADA POR EL INSTITUTO NACIONAL ELECTORAL.</w:t>
            </w:r>
          </w:p>
          <w:p w:rsidR="008D4D86" w:rsidRPr="00B0011E" w:rsidRDefault="008D4D86" w:rsidP="00D271F1">
            <w:pPr>
              <w:jc w:val="both"/>
              <w:rPr>
                <w:rFonts w:ascii="Gothic720 BT" w:hAnsi="Gothic720 BT"/>
              </w:rPr>
            </w:pPr>
          </w:p>
          <w:p w:rsidR="008D4D86" w:rsidRPr="00B0011E" w:rsidRDefault="008D4D86" w:rsidP="00D271F1">
            <w:pPr>
              <w:jc w:val="both"/>
              <w:rPr>
                <w:rFonts w:ascii="Gothic720 BT" w:hAnsi="Gothic720 BT"/>
              </w:rPr>
            </w:pPr>
            <w:r w:rsidRPr="00B0011E">
              <w:rPr>
                <w:rFonts w:ascii="Gothic720 BT" w:hAnsi="Gothic720 BT"/>
                <w:b/>
              </w:rPr>
              <w:t>DENUNCIADO:</w:t>
            </w:r>
            <w:r w:rsidRPr="00B0011E">
              <w:rPr>
                <w:rFonts w:ascii="Gothic720 BT" w:hAnsi="Gothic720 BT"/>
              </w:rPr>
              <w:t xml:space="preserve"> PARTIDO </w:t>
            </w:r>
            <w:r w:rsidR="00B0011E">
              <w:rPr>
                <w:rFonts w:ascii="Gothic720 BT" w:hAnsi="Gothic720 BT"/>
              </w:rPr>
              <w:t>MOVIMIENTO CIUDADANO.</w:t>
            </w:r>
          </w:p>
          <w:p w:rsidR="008D4D86" w:rsidRPr="00B0011E" w:rsidRDefault="008D4D86" w:rsidP="00D271F1">
            <w:pPr>
              <w:jc w:val="both"/>
              <w:rPr>
                <w:rFonts w:ascii="Gothic720 BT" w:hAnsi="Gothic720 BT"/>
              </w:rPr>
            </w:pPr>
          </w:p>
          <w:p w:rsidR="008D4D86" w:rsidRPr="00B0011E" w:rsidRDefault="008D4D86" w:rsidP="00D271F1">
            <w:pPr>
              <w:jc w:val="both"/>
              <w:rPr>
                <w:rFonts w:ascii="Gothic720 BT" w:hAnsi="Gothic720 BT"/>
              </w:rPr>
            </w:pPr>
            <w:r w:rsidRPr="00B0011E">
              <w:rPr>
                <w:rFonts w:ascii="Gothic720 BT" w:hAnsi="Gothic720 BT"/>
                <w:b/>
              </w:rPr>
              <w:t>ASUNTO:</w:t>
            </w:r>
            <w:r w:rsidRPr="00B0011E">
              <w:rPr>
                <w:rFonts w:ascii="Gothic720 BT" w:hAnsi="Gothic720 BT"/>
              </w:rPr>
              <w:t xml:space="preserve"> R</w:t>
            </w:r>
            <w:r w:rsidR="008C3E11">
              <w:rPr>
                <w:rFonts w:ascii="Gothic720 BT" w:hAnsi="Gothic720 BT"/>
              </w:rPr>
              <w:t>ECEPCIÓN</w:t>
            </w:r>
            <w:r w:rsidRPr="00B0011E">
              <w:rPr>
                <w:rFonts w:ascii="Gothic720 BT" w:hAnsi="Gothic720 BT"/>
              </w:rPr>
              <w:t>.</w:t>
            </w:r>
          </w:p>
        </w:tc>
      </w:tr>
    </w:tbl>
    <w:p w:rsidR="008D4D86" w:rsidRPr="00B0011E" w:rsidRDefault="008D4D86" w:rsidP="008D4D86">
      <w:pPr>
        <w:spacing w:after="0"/>
        <w:jc w:val="both"/>
        <w:rPr>
          <w:rFonts w:ascii="Gothic720 BT" w:hAnsi="Gothic720 BT"/>
        </w:rPr>
      </w:pPr>
      <w:r w:rsidRPr="00B0011E">
        <w:rPr>
          <w:rFonts w:ascii="Gothic720 BT" w:hAnsi="Gothic720 BT"/>
        </w:rPr>
        <w:lastRenderedPageBreak/>
        <w:t xml:space="preserve"> </w:t>
      </w:r>
    </w:p>
    <w:p w:rsidR="008D4D86" w:rsidRPr="00B0011E" w:rsidRDefault="008D4D86" w:rsidP="008D4D86">
      <w:pPr>
        <w:spacing w:after="0"/>
        <w:jc w:val="both"/>
        <w:rPr>
          <w:rFonts w:ascii="Gothic720 BT" w:hAnsi="Gothic720 BT"/>
        </w:rPr>
      </w:pPr>
    </w:p>
    <w:p w:rsidR="008D4D86" w:rsidRPr="00B0011E" w:rsidRDefault="008D4D86" w:rsidP="008D4D86">
      <w:pPr>
        <w:spacing w:after="0"/>
        <w:ind w:left="709"/>
        <w:jc w:val="both"/>
        <w:rPr>
          <w:rFonts w:ascii="Gothic720 BT" w:hAnsi="Gothic720 BT" w:cs="Arial"/>
        </w:rPr>
      </w:pPr>
      <w:r w:rsidRPr="00B0011E">
        <w:rPr>
          <w:rFonts w:ascii="Gothic720 BT" w:hAnsi="Gothic720 BT" w:cs="Arial"/>
        </w:rPr>
        <w:t xml:space="preserve">En Santiago de Querétaro, Querétaro, siendo las nueve </w:t>
      </w:r>
      <w:r w:rsidR="008C3E11">
        <w:rPr>
          <w:rFonts w:ascii="Gothic720 BT" w:hAnsi="Gothic720 BT" w:cs="Arial"/>
        </w:rPr>
        <w:t>horas del veinticinco</w:t>
      </w:r>
      <w:r w:rsidRPr="00B0011E">
        <w:rPr>
          <w:rFonts w:ascii="Gothic720 BT" w:hAnsi="Gothic720 BT" w:cs="Arial"/>
        </w:rPr>
        <w:t xml:space="preserve"> de enero de dos mil veintiuno, en cumplimiento a lo ordenado en el proveído dictado en misma fecha, co</w:t>
      </w:r>
      <w:r w:rsidR="008C3E11">
        <w:rPr>
          <w:rFonts w:ascii="Gothic720 BT" w:hAnsi="Gothic720 BT" w:cs="Arial"/>
        </w:rPr>
        <w:t>n fundamento en los artículos 48, fracción I</w:t>
      </w:r>
      <w:r w:rsidR="00B064D5">
        <w:rPr>
          <w:rFonts w:ascii="Gothic720 BT" w:hAnsi="Gothic720 BT" w:cs="Arial"/>
        </w:rPr>
        <w:t>I</w:t>
      </w:r>
      <w:r w:rsidR="008C3E11">
        <w:rPr>
          <w:rFonts w:ascii="Gothic720 BT" w:hAnsi="Gothic720 BT" w:cs="Arial"/>
        </w:rPr>
        <w:t xml:space="preserve">, </w:t>
      </w:r>
      <w:r w:rsidR="00B064D5">
        <w:rPr>
          <w:rFonts w:ascii="Gothic720 BT" w:hAnsi="Gothic720 BT" w:cs="Arial"/>
        </w:rPr>
        <w:t>50</w:t>
      </w:r>
      <w:r w:rsidR="008C3E11">
        <w:rPr>
          <w:rFonts w:ascii="Gothic720 BT" w:hAnsi="Gothic720 BT" w:cs="Arial"/>
        </w:rPr>
        <w:t xml:space="preserve"> y 56, fracción I</w:t>
      </w:r>
      <w:r w:rsidR="00B064D5">
        <w:rPr>
          <w:rFonts w:ascii="Gothic720 BT" w:hAnsi="Gothic720 BT" w:cs="Arial"/>
        </w:rPr>
        <w:t>II</w:t>
      </w:r>
      <w:r w:rsidRPr="00B0011E">
        <w:rPr>
          <w:rFonts w:ascii="Gothic720 BT" w:hAnsi="Gothic720 BT" w:cs="Arial"/>
        </w:rPr>
        <w:t xml:space="preserve"> de la Ley de Medios de Impugnación en Materia Electoral del Estado de Querétaro, se </w:t>
      </w:r>
      <w:r w:rsidRPr="00B0011E">
        <w:rPr>
          <w:rFonts w:ascii="Gothic720 BT" w:hAnsi="Gothic720 BT" w:cs="Arial"/>
          <w:b/>
        </w:rPr>
        <w:t xml:space="preserve">NOTIFICA </w:t>
      </w:r>
      <w:r w:rsidRPr="00B0011E">
        <w:rPr>
          <w:rFonts w:ascii="Gothic720 BT" w:hAnsi="Gothic720 BT" w:cs="Arial"/>
        </w:rPr>
        <w:t>el contenido del prove</w:t>
      </w:r>
      <w:r w:rsidR="00C979CD">
        <w:rPr>
          <w:rFonts w:ascii="Gothic720 BT" w:hAnsi="Gothic720 BT" w:cs="Arial"/>
        </w:rPr>
        <w:t>ído de mérito que consta de dos</w:t>
      </w:r>
      <w:bookmarkStart w:id="0" w:name="_GoBack"/>
      <w:bookmarkEnd w:id="0"/>
      <w:r w:rsidRPr="00B0011E">
        <w:rPr>
          <w:rFonts w:ascii="Gothic720 BT" w:hAnsi="Gothic720 BT" w:cs="Arial"/>
        </w:rPr>
        <w:t xml:space="preserve"> fojas, mediante cédula que se fija en los </w:t>
      </w:r>
      <w:r w:rsidRPr="00B0011E">
        <w:rPr>
          <w:rFonts w:ascii="Gothic720 BT" w:hAnsi="Gothic720 BT" w:cs="Arial"/>
          <w:b/>
        </w:rPr>
        <w:t>ESTRADOS</w:t>
      </w:r>
      <w:r w:rsidRPr="00B0011E">
        <w:rPr>
          <w:rFonts w:ascii="Gothic720 BT" w:hAnsi="Gothic720 BT" w:cs="Arial"/>
        </w:rPr>
        <w:t xml:space="preserve"> de este Consejo General de este Instituto Electoral del Estado de Querétaro, anexando copia del mismo. </w:t>
      </w:r>
      <w:r w:rsidRPr="00B0011E">
        <w:rPr>
          <w:rFonts w:ascii="Gothic720 BT" w:hAnsi="Gothic720 BT" w:cs="Arial"/>
          <w:b/>
        </w:rPr>
        <w:t>CONSTE</w:t>
      </w:r>
      <w:r w:rsidRPr="00B0011E">
        <w:rPr>
          <w:rFonts w:ascii="Gothic720 BT" w:hAnsi="Gothic720 BT" w:cs="Arial"/>
        </w:rPr>
        <w:t xml:space="preserve">. </w:t>
      </w:r>
    </w:p>
    <w:p w:rsidR="008D4D86" w:rsidRPr="00B0011E" w:rsidRDefault="008D4D86" w:rsidP="008D4D86">
      <w:pPr>
        <w:spacing w:after="0"/>
        <w:ind w:left="709"/>
        <w:jc w:val="both"/>
        <w:rPr>
          <w:rFonts w:ascii="Gothic720 BT" w:hAnsi="Gothic720 BT" w:cs="Arial"/>
        </w:rPr>
      </w:pPr>
    </w:p>
    <w:p w:rsidR="008D4D86" w:rsidRPr="00B0011E" w:rsidRDefault="008D4D86" w:rsidP="008D4D86">
      <w:pPr>
        <w:spacing w:after="0"/>
        <w:ind w:left="709"/>
        <w:jc w:val="both"/>
        <w:rPr>
          <w:rFonts w:ascii="Gothic720 BT" w:hAnsi="Gothic720 BT" w:cs="Arial"/>
        </w:rPr>
      </w:pPr>
    </w:p>
    <w:p w:rsidR="008D4D86" w:rsidRPr="00B0011E" w:rsidRDefault="008D4D86" w:rsidP="008D4D86">
      <w:pPr>
        <w:spacing w:after="0"/>
        <w:ind w:left="709"/>
        <w:jc w:val="both"/>
        <w:rPr>
          <w:rFonts w:ascii="Gothic720 BT" w:hAnsi="Gothic720 BT" w:cs="Arial"/>
        </w:rPr>
      </w:pPr>
    </w:p>
    <w:p w:rsidR="008D4D86" w:rsidRPr="00B0011E" w:rsidRDefault="008D4D86" w:rsidP="008D4D86">
      <w:pPr>
        <w:spacing w:after="0"/>
        <w:ind w:left="709"/>
        <w:jc w:val="both"/>
        <w:rPr>
          <w:rFonts w:ascii="Gothic720 BT" w:hAnsi="Gothic720 BT" w:cs="Arial"/>
        </w:rPr>
      </w:pPr>
    </w:p>
    <w:p w:rsidR="008D4D86" w:rsidRPr="00B0011E" w:rsidRDefault="008D4D86" w:rsidP="008D4D86">
      <w:pPr>
        <w:spacing w:after="0"/>
        <w:ind w:left="709"/>
        <w:jc w:val="center"/>
        <w:rPr>
          <w:rFonts w:ascii="Gothic720 BT" w:hAnsi="Gothic720 BT" w:cs="Arial"/>
          <w:b/>
        </w:rPr>
      </w:pPr>
      <w:r w:rsidRPr="00B0011E">
        <w:rPr>
          <w:rFonts w:ascii="Gothic720 BT" w:hAnsi="Gothic720 BT" w:cs="Arial"/>
          <w:b/>
        </w:rPr>
        <w:t>Dr. Juan Rivera Hernández</w:t>
      </w:r>
    </w:p>
    <w:p w:rsidR="008D4D86" w:rsidRPr="00B0011E" w:rsidRDefault="008D4D86" w:rsidP="008D4D86">
      <w:pPr>
        <w:spacing w:after="0"/>
        <w:ind w:left="709"/>
        <w:jc w:val="center"/>
        <w:rPr>
          <w:rFonts w:ascii="Gothic720 BT" w:hAnsi="Gothic720 BT" w:cs="Arial"/>
        </w:rPr>
      </w:pPr>
      <w:r w:rsidRPr="00B0011E">
        <w:rPr>
          <w:rFonts w:ascii="Gothic720 BT" w:hAnsi="Gothic720 BT" w:cs="Arial"/>
        </w:rPr>
        <w:t>Director Ejecutivo de Asuntos Jurídicos</w:t>
      </w:r>
    </w:p>
    <w:p w:rsidR="008D4D86" w:rsidRPr="007831EC" w:rsidRDefault="008D4D86" w:rsidP="008D4D86">
      <w:pPr>
        <w:rPr>
          <w:rFonts w:ascii="Gothic720 BT" w:hAnsi="Gothic720 BT"/>
        </w:rPr>
      </w:pPr>
    </w:p>
    <w:p w:rsidR="002B52E2" w:rsidRDefault="002B52E2"/>
    <w:sectPr w:rsidR="002B52E2" w:rsidSect="00374F60">
      <w:footerReference w:type="default" r:id="rId8"/>
      <w:pgSz w:w="12240" w:h="15840"/>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EA" w:rsidRDefault="00CB31EA" w:rsidP="008D4D86">
      <w:pPr>
        <w:spacing w:after="0" w:line="240" w:lineRule="auto"/>
      </w:pPr>
      <w:r>
        <w:separator/>
      </w:r>
    </w:p>
  </w:endnote>
  <w:endnote w:type="continuationSeparator" w:id="0">
    <w:p w:rsidR="00CB31EA" w:rsidRDefault="00CB31EA" w:rsidP="008D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15998"/>
      <w:docPartObj>
        <w:docPartGallery w:val="Page Numbers (Bottom of Page)"/>
        <w:docPartUnique/>
      </w:docPartObj>
    </w:sdtPr>
    <w:sdtEndPr/>
    <w:sdtContent>
      <w:p w:rsidR="00AD298C" w:rsidRDefault="00CB31EA">
        <w:pPr>
          <w:pStyle w:val="Piedepgina"/>
          <w:jc w:val="right"/>
        </w:pPr>
        <w:r>
          <w:fldChar w:fldCharType="begin"/>
        </w:r>
        <w:r>
          <w:instrText>PAGE   \* MERGEFORMAT</w:instrText>
        </w:r>
        <w:r>
          <w:fldChar w:fldCharType="separate"/>
        </w:r>
        <w:r w:rsidR="00C979CD" w:rsidRPr="00C979CD">
          <w:rPr>
            <w:noProof/>
            <w:lang w:val="es-ES"/>
          </w:rPr>
          <w:t>3</w:t>
        </w:r>
        <w:r>
          <w:fldChar w:fldCharType="end"/>
        </w:r>
      </w:p>
    </w:sdtContent>
  </w:sdt>
  <w:p w:rsidR="00AD298C" w:rsidRDefault="00CB31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EA" w:rsidRDefault="00CB31EA" w:rsidP="008D4D86">
      <w:pPr>
        <w:spacing w:after="0" w:line="240" w:lineRule="auto"/>
      </w:pPr>
      <w:r>
        <w:separator/>
      </w:r>
    </w:p>
  </w:footnote>
  <w:footnote w:type="continuationSeparator" w:id="0">
    <w:p w:rsidR="00CB31EA" w:rsidRDefault="00CB31EA" w:rsidP="008D4D86">
      <w:pPr>
        <w:spacing w:after="0" w:line="240" w:lineRule="auto"/>
      </w:pPr>
      <w:r>
        <w:continuationSeparator/>
      </w:r>
    </w:p>
  </w:footnote>
  <w:footnote w:id="1">
    <w:p w:rsidR="008D4D86" w:rsidRPr="00EA7D1F" w:rsidRDefault="008D4D86" w:rsidP="008D4D86">
      <w:pPr>
        <w:pStyle w:val="Textonotapie"/>
        <w:ind w:left="709"/>
        <w:jc w:val="both"/>
        <w:rPr>
          <w:sz w:val="16"/>
          <w:szCs w:val="16"/>
        </w:rPr>
      </w:pPr>
      <w:r w:rsidRPr="00EA7D1F">
        <w:rPr>
          <w:rStyle w:val="Refdenotaalpie"/>
          <w:sz w:val="16"/>
          <w:szCs w:val="16"/>
        </w:rPr>
        <w:footnoteRef/>
      </w:r>
      <w:r w:rsidRPr="00EA7D1F">
        <w:rPr>
          <w:sz w:val="16"/>
          <w:szCs w:val="16"/>
        </w:rPr>
        <w:t xml:space="preserve"> En lo sucesivo las fechas que se mencionan co</w:t>
      </w:r>
      <w:r>
        <w:rPr>
          <w:sz w:val="16"/>
          <w:szCs w:val="16"/>
        </w:rPr>
        <w:t>rresponden al año dos mil veintiuno</w:t>
      </w:r>
      <w:r w:rsidRPr="00EA7D1F">
        <w:rPr>
          <w:sz w:val="16"/>
          <w:szCs w:val="16"/>
        </w:rPr>
        <w:t>, salvo mención diversa.</w:t>
      </w:r>
    </w:p>
  </w:footnote>
  <w:footnote w:id="2">
    <w:p w:rsidR="008D4D86" w:rsidRPr="00EA7D1F" w:rsidRDefault="008D4D86" w:rsidP="008D4D86">
      <w:pPr>
        <w:pStyle w:val="Textonotapie"/>
        <w:ind w:left="709"/>
        <w:rPr>
          <w:sz w:val="16"/>
          <w:szCs w:val="16"/>
        </w:rPr>
      </w:pPr>
      <w:r w:rsidRPr="00EA7D1F">
        <w:rPr>
          <w:rStyle w:val="Refdenotaalpie"/>
          <w:sz w:val="16"/>
          <w:szCs w:val="16"/>
        </w:rPr>
        <w:footnoteRef/>
      </w:r>
      <w:r w:rsidRPr="00EA7D1F">
        <w:rPr>
          <w:sz w:val="16"/>
          <w:szCs w:val="16"/>
        </w:rPr>
        <w:t xml:space="preserve"> En adelante Ley Electoral.</w:t>
      </w:r>
    </w:p>
  </w:footnote>
  <w:footnote w:id="3">
    <w:p w:rsidR="008D4D86" w:rsidRDefault="008D4D86" w:rsidP="008D4D86">
      <w:pPr>
        <w:pStyle w:val="Textonotapie"/>
        <w:ind w:firstLine="709"/>
      </w:pPr>
      <w:r w:rsidRPr="00253BBD">
        <w:rPr>
          <w:sz w:val="12"/>
          <w:szCs w:val="12"/>
        </w:rPr>
        <w:footnoteRef/>
      </w:r>
      <w:r w:rsidRPr="00D26DF7">
        <w:rPr>
          <w:sz w:val="16"/>
          <w:szCs w:val="16"/>
        </w:rPr>
        <w:t xml:space="preserve"> En adelante Dirección Ejecutiva.</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4BF"/>
    <w:multiLevelType w:val="hybridMultilevel"/>
    <w:tmpl w:val="51E89D74"/>
    <w:lvl w:ilvl="0" w:tplc="505678BC">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nsid w:val="0B8E685B"/>
    <w:multiLevelType w:val="hybridMultilevel"/>
    <w:tmpl w:val="0938F3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F02B00"/>
    <w:multiLevelType w:val="hybridMultilevel"/>
    <w:tmpl w:val="1C84748C"/>
    <w:lvl w:ilvl="0" w:tplc="4DF2D24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86"/>
    <w:rsid w:val="00016006"/>
    <w:rsid w:val="002B52E2"/>
    <w:rsid w:val="00365813"/>
    <w:rsid w:val="0049030B"/>
    <w:rsid w:val="00657DE5"/>
    <w:rsid w:val="0072244F"/>
    <w:rsid w:val="00725FCE"/>
    <w:rsid w:val="007E1960"/>
    <w:rsid w:val="008C3E11"/>
    <w:rsid w:val="008D4D86"/>
    <w:rsid w:val="00B0011E"/>
    <w:rsid w:val="00B064D5"/>
    <w:rsid w:val="00C979CD"/>
    <w:rsid w:val="00CB31EA"/>
    <w:rsid w:val="00DA1C5B"/>
    <w:rsid w:val="00F77A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Car10,Car1 Car Car"/>
    <w:basedOn w:val="Normal"/>
    <w:link w:val="TextonotapieCar"/>
    <w:uiPriority w:val="99"/>
    <w:unhideWhenUsed/>
    <w:qFormat/>
    <w:rsid w:val="008D4D86"/>
    <w:pPr>
      <w:spacing w:after="0" w:line="240" w:lineRule="auto"/>
    </w:pPr>
    <w:rPr>
      <w:rFonts w:ascii="Gothic720 BT" w:eastAsia="Gothic720 BT" w:hAnsi="Gothic720 BT" w:cs="Gothic720 BT"/>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8D4D86"/>
    <w:rPr>
      <w:rFonts w:ascii="Gothic720 BT" w:eastAsia="Gothic720 BT" w:hAnsi="Gothic720 BT" w:cs="Gothic720 BT"/>
      <w:sz w:val="20"/>
      <w:szCs w:val="20"/>
      <w:lang w:eastAsia="es-ES"/>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8D4D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4D86"/>
    <w:pPr>
      <w:spacing w:after="160" w:line="259" w:lineRule="auto"/>
      <w:jc w:val="both"/>
    </w:pPr>
    <w:rPr>
      <w:vertAlign w:val="superscript"/>
    </w:rPr>
  </w:style>
  <w:style w:type="table" w:styleId="Tablaconcuadrcula">
    <w:name w:val="Table Grid"/>
    <w:basedOn w:val="Tablanormal"/>
    <w:uiPriority w:val="59"/>
    <w:rsid w:val="008D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4D86"/>
    <w:pPr>
      <w:ind w:left="720"/>
      <w:contextualSpacing/>
    </w:pPr>
  </w:style>
  <w:style w:type="paragraph" w:styleId="Piedepgina">
    <w:name w:val="footer"/>
    <w:basedOn w:val="Normal"/>
    <w:link w:val="PiedepginaCar"/>
    <w:uiPriority w:val="99"/>
    <w:unhideWhenUsed/>
    <w:rsid w:val="008D4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Car10,Car1 Car Car"/>
    <w:basedOn w:val="Normal"/>
    <w:link w:val="TextonotapieCar"/>
    <w:uiPriority w:val="99"/>
    <w:unhideWhenUsed/>
    <w:qFormat/>
    <w:rsid w:val="008D4D86"/>
    <w:pPr>
      <w:spacing w:after="0" w:line="240" w:lineRule="auto"/>
    </w:pPr>
    <w:rPr>
      <w:rFonts w:ascii="Gothic720 BT" w:eastAsia="Gothic720 BT" w:hAnsi="Gothic720 BT" w:cs="Gothic720 BT"/>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8D4D86"/>
    <w:rPr>
      <w:rFonts w:ascii="Gothic720 BT" w:eastAsia="Gothic720 BT" w:hAnsi="Gothic720 BT" w:cs="Gothic720 BT"/>
      <w:sz w:val="20"/>
      <w:szCs w:val="20"/>
      <w:lang w:eastAsia="es-ES"/>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8D4D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4D86"/>
    <w:pPr>
      <w:spacing w:after="160" w:line="259" w:lineRule="auto"/>
      <w:jc w:val="both"/>
    </w:pPr>
    <w:rPr>
      <w:vertAlign w:val="superscript"/>
    </w:rPr>
  </w:style>
  <w:style w:type="table" w:styleId="Tablaconcuadrcula">
    <w:name w:val="Table Grid"/>
    <w:basedOn w:val="Tablanormal"/>
    <w:uiPriority w:val="59"/>
    <w:rsid w:val="008D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4D86"/>
    <w:pPr>
      <w:ind w:left="720"/>
      <w:contextualSpacing/>
    </w:pPr>
  </w:style>
  <w:style w:type="paragraph" w:styleId="Piedepgina">
    <w:name w:val="footer"/>
    <w:basedOn w:val="Normal"/>
    <w:link w:val="PiedepginaCar"/>
    <w:uiPriority w:val="99"/>
    <w:unhideWhenUsed/>
    <w:rsid w:val="008D4D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394</Words>
  <Characters>2170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Emanuel.Echeverria</dc:creator>
  <cp:lastModifiedBy>Emanuel.Echeverria</cp:lastModifiedBy>
  <cp:revision>6</cp:revision>
  <cp:lastPrinted>2021-01-25T16:21:00Z</cp:lastPrinted>
  <dcterms:created xsi:type="dcterms:W3CDTF">2021-01-25T14:53:00Z</dcterms:created>
  <dcterms:modified xsi:type="dcterms:W3CDTF">2021-01-25T18:48:00Z</dcterms:modified>
</cp:coreProperties>
</file>