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4678" w:type="dxa"/>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B13E86" w:rsidTr="001833D9">
        <w:tc>
          <w:tcPr>
            <w:tcW w:w="4678" w:type="dxa"/>
          </w:tcPr>
          <w:p w:rsidR="00B13E86" w:rsidRPr="00B67897" w:rsidRDefault="00B13E86" w:rsidP="00DE57CE">
            <w:pPr>
              <w:ind w:left="318"/>
              <w:rPr>
                <w:rFonts w:ascii="Gothic720 BT" w:hAnsi="Gothic720 BT"/>
                <w:b/>
              </w:rPr>
            </w:pPr>
            <w:r w:rsidRPr="00B67897">
              <w:rPr>
                <w:rFonts w:ascii="Gothic720 BT" w:hAnsi="Gothic720 BT"/>
                <w:b/>
              </w:rPr>
              <w:t>PROCEDIMIENTO ORDINARIO SANCIONADOR</w:t>
            </w:r>
          </w:p>
          <w:p w:rsidR="00B13E86" w:rsidRPr="00B67897" w:rsidRDefault="00B13E86" w:rsidP="00DE57CE">
            <w:pPr>
              <w:ind w:left="318"/>
              <w:rPr>
                <w:rFonts w:ascii="Gothic720 BT" w:hAnsi="Gothic720 BT"/>
                <w:b/>
                <w:sz w:val="18"/>
              </w:rPr>
            </w:pPr>
          </w:p>
          <w:p w:rsidR="00B13E86" w:rsidRPr="00B67897" w:rsidRDefault="00B13E86" w:rsidP="00DE57CE">
            <w:pPr>
              <w:ind w:left="318"/>
              <w:rPr>
                <w:rFonts w:ascii="Gothic720 BT" w:hAnsi="Gothic720 BT"/>
              </w:rPr>
            </w:pPr>
            <w:r w:rsidRPr="00B67897">
              <w:rPr>
                <w:rFonts w:ascii="Gothic720 BT" w:hAnsi="Gothic720 BT"/>
                <w:b/>
              </w:rPr>
              <w:t>EXPEDIENTE:</w:t>
            </w:r>
            <w:r>
              <w:rPr>
                <w:rFonts w:ascii="Gothic720 BT" w:hAnsi="Gothic720 BT"/>
              </w:rPr>
              <w:t xml:space="preserve"> IEEQ/POS/003/2021</w:t>
            </w:r>
            <w:r w:rsidRPr="00B67897">
              <w:rPr>
                <w:rFonts w:ascii="Gothic720 BT" w:hAnsi="Gothic720 BT"/>
              </w:rPr>
              <w:t>-P.</w:t>
            </w:r>
          </w:p>
          <w:p w:rsidR="00CB2199" w:rsidRDefault="00CB2199" w:rsidP="00DE57CE">
            <w:pPr>
              <w:ind w:left="176"/>
              <w:jc w:val="both"/>
              <w:rPr>
                <w:rFonts w:ascii="Gothic720 BT" w:hAnsi="Gothic720 BT"/>
              </w:rPr>
            </w:pPr>
          </w:p>
          <w:p w:rsidR="00CB2199" w:rsidRDefault="00CB2199" w:rsidP="00DE57CE">
            <w:pPr>
              <w:ind w:left="318"/>
              <w:jc w:val="both"/>
              <w:rPr>
                <w:rFonts w:ascii="Gothic720 BT" w:hAnsi="Gothic720 BT"/>
              </w:rPr>
            </w:pPr>
            <w:r w:rsidRPr="00CB2199">
              <w:rPr>
                <w:rFonts w:ascii="Gothic720 BT" w:hAnsi="Gothic720 BT"/>
                <w:b/>
              </w:rPr>
              <w:t>DENUNCIADO:</w:t>
            </w:r>
            <w:r w:rsidR="001833D9">
              <w:rPr>
                <w:rFonts w:ascii="Gothic720 BT" w:hAnsi="Gothic720 BT"/>
              </w:rPr>
              <w:t xml:space="preserve"> </w:t>
            </w:r>
            <w:r w:rsidRPr="00CB2199">
              <w:rPr>
                <w:rFonts w:ascii="Gothic720 BT" w:hAnsi="Gothic720 BT"/>
              </w:rPr>
              <w:t>PARTIDO QUERÉTARO INDEPENDIENTE.</w:t>
            </w:r>
          </w:p>
          <w:p w:rsidR="004206E7" w:rsidRPr="00B67897" w:rsidRDefault="004206E7" w:rsidP="00DE57CE">
            <w:pPr>
              <w:ind w:left="318"/>
              <w:rPr>
                <w:rFonts w:ascii="Gothic720 BT" w:hAnsi="Gothic720 BT"/>
                <w:sz w:val="18"/>
              </w:rPr>
            </w:pPr>
          </w:p>
          <w:p w:rsidR="00B13E86" w:rsidRPr="005A3B18" w:rsidRDefault="00B13E86" w:rsidP="004A29B6">
            <w:pPr>
              <w:ind w:left="318"/>
              <w:jc w:val="both"/>
              <w:rPr>
                <w:rFonts w:ascii="Gothic720 BT" w:hAnsi="Gothic720 BT"/>
              </w:rPr>
            </w:pPr>
            <w:r w:rsidRPr="00B67897">
              <w:rPr>
                <w:rFonts w:ascii="Gothic720 BT" w:hAnsi="Gothic720 BT"/>
                <w:b/>
              </w:rPr>
              <w:t>ASUNTO:</w:t>
            </w:r>
            <w:r w:rsidR="004A29B6">
              <w:rPr>
                <w:rFonts w:ascii="Gothic720 BT" w:hAnsi="Gothic720 BT"/>
                <w:b/>
              </w:rPr>
              <w:t xml:space="preserve"> </w:t>
            </w:r>
            <w:r w:rsidR="004A29B6" w:rsidRPr="004A29B6">
              <w:rPr>
                <w:rFonts w:ascii="Gothic720 BT" w:eastAsia="Times New Roman" w:hAnsi="Gothic720 BT" w:cs="Times New Roman"/>
                <w:bCs/>
                <w:lang w:eastAsia="es-MX"/>
              </w:rPr>
              <w:t>CERTIFICACIÓN</w:t>
            </w:r>
            <w:r w:rsidR="004A29B6" w:rsidRPr="004A29B6">
              <w:rPr>
                <w:rFonts w:ascii="Gothic720 BT" w:hAnsi="Gothic720 BT"/>
              </w:rPr>
              <w:t xml:space="preserve">. </w:t>
            </w:r>
          </w:p>
        </w:tc>
      </w:tr>
    </w:tbl>
    <w:p w:rsidR="00B13E86" w:rsidRDefault="00DE57CE" w:rsidP="00B13E86">
      <w:pPr>
        <w:spacing w:after="0" w:line="240" w:lineRule="auto"/>
        <w:jc w:val="both"/>
        <w:textAlignment w:val="baseline"/>
        <w:rPr>
          <w:rFonts w:ascii="Gothic720 BT" w:eastAsia="Times New Roman" w:hAnsi="Gothic720 BT" w:cs="Times New Roman"/>
          <w:lang w:val="es-ES" w:eastAsia="es-MX"/>
        </w:rPr>
      </w:pPr>
      <w:r>
        <w:rPr>
          <w:rFonts w:ascii="Gothic720 BT" w:eastAsia="Times New Roman" w:hAnsi="Gothic720 BT" w:cs="Times New Roman"/>
          <w:lang w:val="es-ES" w:eastAsia="es-MX"/>
        </w:rPr>
        <w:t xml:space="preserve"> </w:t>
      </w:r>
    </w:p>
    <w:p w:rsidR="007A2454" w:rsidRDefault="007A2454" w:rsidP="00B13E86">
      <w:pPr>
        <w:spacing w:after="0" w:line="240" w:lineRule="auto"/>
        <w:ind w:left="1134"/>
        <w:jc w:val="both"/>
        <w:textAlignment w:val="baseline"/>
        <w:rPr>
          <w:rFonts w:ascii="Gothic720 BT" w:eastAsia="Times New Roman" w:hAnsi="Gothic720 BT" w:cs="Times New Roman"/>
          <w:lang w:val="es-ES" w:eastAsia="es-MX"/>
        </w:rPr>
      </w:pPr>
    </w:p>
    <w:p w:rsidR="00B13E86" w:rsidRPr="00870E7A" w:rsidRDefault="00B13E86" w:rsidP="00B13E86">
      <w:pPr>
        <w:spacing w:after="0" w:line="240" w:lineRule="auto"/>
        <w:ind w:left="1134"/>
        <w:jc w:val="both"/>
        <w:textAlignment w:val="baseline"/>
        <w:rPr>
          <w:rFonts w:ascii="Gothic720 BT" w:eastAsia="Times New Roman" w:hAnsi="Gothic720 BT" w:cs="Times New Roman"/>
          <w:lang w:val="es-ES" w:eastAsia="es-MX"/>
        </w:rPr>
      </w:pPr>
      <w:r w:rsidRPr="00870E7A">
        <w:rPr>
          <w:rFonts w:ascii="Gothic720 BT" w:eastAsia="Times New Roman" w:hAnsi="Gothic720 BT" w:cs="Times New Roman"/>
          <w:lang w:val="es-ES" w:eastAsia="es-MX"/>
        </w:rPr>
        <w:t xml:space="preserve">Santiago de Querétaro, Querétaro, </w:t>
      </w:r>
      <w:r w:rsidR="00CE0E50">
        <w:rPr>
          <w:rFonts w:ascii="Gothic720 BT" w:eastAsia="Times New Roman" w:hAnsi="Gothic720 BT" w:cs="Times New Roman"/>
          <w:lang w:val="es-ES" w:eastAsia="es-MX"/>
        </w:rPr>
        <w:t>nueve</w:t>
      </w:r>
      <w:r w:rsidRPr="00870E7A">
        <w:rPr>
          <w:rFonts w:ascii="Gothic720 BT" w:eastAsia="Times New Roman" w:hAnsi="Gothic720 BT" w:cs="Times New Roman"/>
          <w:lang w:val="es-ES" w:eastAsia="es-MX"/>
        </w:rPr>
        <w:t xml:space="preserve"> de </w:t>
      </w:r>
      <w:r w:rsidR="00CE0E50">
        <w:rPr>
          <w:rFonts w:ascii="Gothic720 BT" w:eastAsia="Times New Roman" w:hAnsi="Gothic720 BT" w:cs="Times New Roman"/>
          <w:lang w:val="es-ES" w:eastAsia="es-MX"/>
        </w:rPr>
        <w:t>febr</w:t>
      </w:r>
      <w:r>
        <w:rPr>
          <w:rFonts w:ascii="Gothic720 BT" w:eastAsia="Times New Roman" w:hAnsi="Gothic720 BT" w:cs="Times New Roman"/>
          <w:lang w:val="es-ES" w:eastAsia="es-MX"/>
        </w:rPr>
        <w:t>ero de dos mil veintiuno</w:t>
      </w:r>
      <w:r w:rsidRPr="00870E7A">
        <w:rPr>
          <w:rFonts w:ascii="Gothic720 BT" w:eastAsia="Times New Roman" w:hAnsi="Gothic720 BT" w:cs="Times New Roman"/>
          <w:lang w:val="es-ES" w:eastAsia="es-MX"/>
        </w:rPr>
        <w:t>.</w:t>
      </w:r>
      <w:r>
        <w:rPr>
          <w:rStyle w:val="Refdenotaalpie"/>
          <w:rFonts w:ascii="Gothic720 BT" w:eastAsia="Times New Roman" w:hAnsi="Gothic720 BT" w:cs="Times New Roman"/>
          <w:lang w:val="es-ES" w:eastAsia="es-MX"/>
        </w:rPr>
        <w:footnoteReference w:id="1"/>
      </w:r>
    </w:p>
    <w:p w:rsidR="00B13E86" w:rsidRPr="00CE0E50" w:rsidRDefault="00B13E86" w:rsidP="00B13E86">
      <w:pPr>
        <w:spacing w:after="0" w:line="240" w:lineRule="auto"/>
        <w:ind w:left="1134"/>
        <w:jc w:val="both"/>
        <w:textAlignment w:val="baseline"/>
        <w:rPr>
          <w:rFonts w:ascii="Gothic720 BT" w:eastAsia="Times New Roman" w:hAnsi="Gothic720 BT" w:cs="Times New Roman"/>
          <w:b/>
          <w:bCs/>
          <w:lang w:val="es-ES" w:eastAsia="es-MX"/>
        </w:rPr>
      </w:pPr>
    </w:p>
    <w:p w:rsidR="00B13E86" w:rsidRPr="00CF34FD" w:rsidRDefault="00B13E86" w:rsidP="00B13E86">
      <w:pPr>
        <w:spacing w:after="0" w:line="240" w:lineRule="auto"/>
        <w:ind w:left="1134"/>
        <w:jc w:val="both"/>
        <w:textAlignment w:val="baseline"/>
        <w:rPr>
          <w:rFonts w:ascii="Gothic720 BT" w:eastAsia="Times New Roman" w:hAnsi="Gothic720 BT" w:cs="Times New Roman"/>
          <w:bCs/>
          <w:lang w:eastAsia="es-MX"/>
        </w:rPr>
      </w:pPr>
      <w:r w:rsidRPr="004A3D48">
        <w:rPr>
          <w:rFonts w:ascii="Gothic720 BT" w:eastAsia="Times New Roman" w:hAnsi="Gothic720 BT" w:cs="Times New Roman"/>
          <w:b/>
          <w:bCs/>
          <w:lang w:eastAsia="es-MX"/>
        </w:rPr>
        <w:t>VISTO</w:t>
      </w:r>
      <w:r w:rsidR="008C49F6">
        <w:rPr>
          <w:rFonts w:ascii="Gothic720 BT" w:eastAsia="Times New Roman" w:hAnsi="Gothic720 BT" w:cs="Times New Roman"/>
          <w:b/>
          <w:bCs/>
          <w:lang w:eastAsia="es-MX"/>
        </w:rPr>
        <w:t xml:space="preserve"> </w:t>
      </w:r>
      <w:r w:rsidR="008C49F6" w:rsidRPr="008C49F6">
        <w:rPr>
          <w:rFonts w:ascii="Gothic720 BT" w:eastAsia="Times New Roman" w:hAnsi="Gothic720 BT" w:cs="Times New Roman"/>
          <w:bCs/>
          <w:lang w:eastAsia="es-MX"/>
        </w:rPr>
        <w:t xml:space="preserve">el </w:t>
      </w:r>
      <w:r w:rsidR="002F63A0">
        <w:rPr>
          <w:rFonts w:ascii="Gothic720 BT" w:eastAsia="Times New Roman" w:hAnsi="Gothic720 BT" w:cs="Times New Roman"/>
          <w:bCs/>
          <w:lang w:eastAsia="es-MX"/>
        </w:rPr>
        <w:t>estado procesal que guarda el expediente</w:t>
      </w:r>
      <w:r w:rsidR="001A5841">
        <w:rPr>
          <w:rFonts w:ascii="Gothic720 BT" w:eastAsia="Times New Roman" w:hAnsi="Gothic720 BT" w:cs="Times New Roman"/>
          <w:bCs/>
          <w:lang w:eastAsia="es-MX"/>
        </w:rPr>
        <w:t xml:space="preserve"> al rubro citado</w:t>
      </w:r>
      <w:r w:rsidR="008C49F6">
        <w:rPr>
          <w:rFonts w:ascii="Gothic720 BT" w:eastAsia="Times New Roman" w:hAnsi="Gothic720 BT" w:cs="Times New Roman"/>
          <w:bCs/>
          <w:lang w:eastAsia="es-MX"/>
        </w:rPr>
        <w:t>;</w:t>
      </w:r>
      <w:r w:rsidRPr="00CF34FD">
        <w:rPr>
          <w:rFonts w:ascii="Gothic720 BT" w:eastAsia="Times New Roman" w:hAnsi="Gothic720 BT" w:cs="Times New Roman"/>
          <w:bCs/>
          <w:lang w:eastAsia="es-MX"/>
        </w:rPr>
        <w:t xml:space="preserve"> con fundamento en los artículos 77, fracciones V y XIV de la Ley Electoral del Estado de Querétaro,</w:t>
      </w:r>
      <w:r>
        <w:rPr>
          <w:rStyle w:val="Refdenotaalpie"/>
          <w:rFonts w:ascii="Gothic720 BT" w:eastAsia="Times New Roman" w:hAnsi="Gothic720 BT" w:cs="Times New Roman"/>
          <w:bCs/>
          <w:lang w:eastAsia="es-MX"/>
        </w:rPr>
        <w:footnoteReference w:id="2"/>
      </w:r>
      <w:r w:rsidRPr="00CF34FD">
        <w:rPr>
          <w:rFonts w:ascii="Gothic720 BT" w:eastAsia="Times New Roman" w:hAnsi="Gothic720 BT" w:cs="Times New Roman"/>
          <w:bCs/>
          <w:lang w:eastAsia="es-MX"/>
        </w:rPr>
        <w:t xml:space="preserve">  así como 44, fracción II, inciso d) del Reglamento Interior del Instituto; la Dirección </w:t>
      </w:r>
      <w:r w:rsidR="00E14EC5">
        <w:rPr>
          <w:rFonts w:ascii="Gothic720 BT" w:eastAsia="Times New Roman" w:hAnsi="Gothic720 BT" w:cs="Times New Roman"/>
          <w:bCs/>
          <w:lang w:eastAsia="es-MX"/>
        </w:rPr>
        <w:t xml:space="preserve">Ejecutiva de Asuntos Jurídicos </w:t>
      </w:r>
      <w:r w:rsidRPr="00CF34FD">
        <w:rPr>
          <w:rFonts w:ascii="Gothic720 BT" w:eastAsia="Times New Roman" w:hAnsi="Gothic720 BT" w:cs="Times New Roman"/>
          <w:bCs/>
          <w:lang w:eastAsia="es-MX"/>
        </w:rPr>
        <w:t>del Instituto</w:t>
      </w:r>
      <w:r w:rsidR="002F63A0">
        <w:rPr>
          <w:rFonts w:ascii="Gothic720 BT" w:eastAsia="Times New Roman" w:hAnsi="Gothic720 BT" w:cs="Times New Roman"/>
          <w:bCs/>
          <w:lang w:eastAsia="es-MX"/>
        </w:rPr>
        <w:t xml:space="preserve"> Electoral del Estado de Querétaro</w:t>
      </w:r>
      <w:r>
        <w:rPr>
          <w:rStyle w:val="Refdenotaalpie"/>
          <w:rFonts w:ascii="Gothic720 BT" w:eastAsia="Times New Roman" w:hAnsi="Gothic720 BT" w:cs="Times New Roman"/>
          <w:bCs/>
          <w:lang w:eastAsia="es-MX"/>
        </w:rPr>
        <w:footnoteReference w:id="3"/>
      </w:r>
      <w:r w:rsidR="002F63A0">
        <w:rPr>
          <w:rFonts w:ascii="Gothic720 BT" w:eastAsia="Times New Roman" w:hAnsi="Gothic720 BT" w:cs="Times New Roman"/>
          <w:bCs/>
          <w:lang w:eastAsia="es-MX"/>
        </w:rPr>
        <w:t>,</w:t>
      </w:r>
      <w:r w:rsidRPr="00CF34FD">
        <w:rPr>
          <w:rFonts w:ascii="Gothic720 BT" w:eastAsia="Times New Roman" w:hAnsi="Gothic720 BT" w:cs="Times New Roman"/>
          <w:bCs/>
          <w:lang w:eastAsia="es-MX"/>
        </w:rPr>
        <w:t xml:space="preserve"> </w:t>
      </w:r>
      <w:r w:rsidRPr="008B5180">
        <w:rPr>
          <w:rFonts w:ascii="Gothic720 BT" w:eastAsia="Times New Roman" w:hAnsi="Gothic720 BT" w:cs="Times New Roman"/>
          <w:b/>
          <w:bCs/>
          <w:lang w:eastAsia="es-MX"/>
        </w:rPr>
        <w:t>ACUERDA:</w:t>
      </w:r>
    </w:p>
    <w:p w:rsidR="00B13E86" w:rsidRPr="00CF34FD" w:rsidRDefault="00B13E86" w:rsidP="00B13E86">
      <w:pPr>
        <w:spacing w:after="0" w:line="240" w:lineRule="auto"/>
        <w:ind w:left="1134"/>
        <w:jc w:val="both"/>
        <w:textAlignment w:val="baseline"/>
        <w:rPr>
          <w:rFonts w:ascii="Gothic720 BT" w:eastAsia="Times New Roman" w:hAnsi="Gothic720 BT" w:cs="Times New Roman"/>
          <w:bCs/>
          <w:lang w:eastAsia="es-MX"/>
        </w:rPr>
      </w:pPr>
    </w:p>
    <w:p w:rsidR="00DE57CE" w:rsidRPr="00DE57CE" w:rsidRDefault="00DE57CE" w:rsidP="00DE57CE">
      <w:pPr>
        <w:spacing w:after="0" w:line="240" w:lineRule="auto"/>
        <w:ind w:left="1134"/>
        <w:jc w:val="both"/>
        <w:textAlignment w:val="baseline"/>
        <w:rPr>
          <w:rFonts w:ascii="Gothic720 BT" w:eastAsia="Times New Roman" w:hAnsi="Gothic720 BT" w:cs="Times New Roman"/>
          <w:bCs/>
          <w:lang w:eastAsia="es-MX"/>
        </w:rPr>
      </w:pPr>
      <w:r>
        <w:rPr>
          <w:rFonts w:ascii="Gothic720 BT" w:eastAsia="Times New Roman" w:hAnsi="Gothic720 BT" w:cs="Times New Roman"/>
          <w:b/>
          <w:bCs/>
          <w:lang w:eastAsia="es-MX"/>
        </w:rPr>
        <w:t>ÚNICO</w:t>
      </w:r>
      <w:r w:rsidRPr="00DE57CE">
        <w:rPr>
          <w:rFonts w:ascii="Gothic720 BT" w:eastAsia="Times New Roman" w:hAnsi="Gothic720 BT" w:cs="Times New Roman"/>
          <w:b/>
          <w:bCs/>
          <w:lang w:eastAsia="es-MX"/>
        </w:rPr>
        <w:t>. Certificación</w:t>
      </w:r>
      <w:r w:rsidRPr="00DE57CE">
        <w:rPr>
          <w:rFonts w:ascii="Gothic720 BT" w:eastAsia="Times New Roman" w:hAnsi="Gothic720 BT" w:cs="Times New Roman"/>
          <w:bCs/>
          <w:lang w:eastAsia="es-MX"/>
        </w:rPr>
        <w:t>. De conformidad con los artículos 77, fracción V y 223, fracción III de la Ley Electoral, con la finalidad de que esta Dirección Ejecutiva se allegue de los elementos para sustanciar el procedimiento</w:t>
      </w:r>
      <w:r w:rsidR="009D1AC0">
        <w:rPr>
          <w:rFonts w:ascii="Gothic720 BT" w:eastAsia="Times New Roman" w:hAnsi="Gothic720 BT" w:cs="Times New Roman"/>
          <w:bCs/>
          <w:lang w:eastAsia="es-MX"/>
        </w:rPr>
        <w:t xml:space="preserve"> en que se actúa, se ordena</w:t>
      </w:r>
      <w:r w:rsidRPr="00DE57CE">
        <w:rPr>
          <w:rFonts w:ascii="Gothic720 BT" w:eastAsia="Times New Roman" w:hAnsi="Gothic720 BT" w:cs="Times New Roman"/>
          <w:bCs/>
          <w:lang w:eastAsia="es-MX"/>
        </w:rPr>
        <w:t xml:space="preserve"> agregar al presente</w:t>
      </w:r>
      <w:r w:rsidR="009D1AC0">
        <w:rPr>
          <w:rFonts w:ascii="Gothic720 BT" w:eastAsia="Times New Roman" w:hAnsi="Gothic720 BT" w:cs="Times New Roman"/>
          <w:bCs/>
          <w:lang w:eastAsia="es-MX"/>
        </w:rPr>
        <w:t xml:space="preserve"> procedimiento,</w:t>
      </w:r>
      <w:r w:rsidRPr="00DE57CE">
        <w:rPr>
          <w:rFonts w:ascii="Gothic720 BT" w:eastAsia="Times New Roman" w:hAnsi="Gothic720 BT" w:cs="Times New Roman"/>
          <w:bCs/>
          <w:lang w:eastAsia="es-MX"/>
        </w:rPr>
        <w:t xml:space="preserve"> copia certific</w:t>
      </w:r>
      <w:r w:rsidR="009D1AC0">
        <w:rPr>
          <w:rFonts w:ascii="Gothic720 BT" w:eastAsia="Times New Roman" w:hAnsi="Gothic720 BT" w:cs="Times New Roman"/>
          <w:bCs/>
          <w:lang w:eastAsia="es-MX"/>
        </w:rPr>
        <w:t xml:space="preserve">ada del Acuerdo </w:t>
      </w:r>
      <w:r w:rsidRPr="00DE57CE">
        <w:rPr>
          <w:rFonts w:ascii="Gothic720 BT" w:eastAsia="Times New Roman" w:hAnsi="Gothic720 BT" w:cs="Times New Roman"/>
          <w:bCs/>
          <w:lang w:eastAsia="es-MX"/>
        </w:rPr>
        <w:t>del Consejo General del Instituto E</w:t>
      </w:r>
      <w:r w:rsidR="009D1AC0">
        <w:rPr>
          <w:rFonts w:ascii="Gothic720 BT" w:eastAsia="Times New Roman" w:hAnsi="Gothic720 BT" w:cs="Times New Roman"/>
          <w:bCs/>
          <w:lang w:eastAsia="es-MX"/>
        </w:rPr>
        <w:t xml:space="preserve">lectoral del Estado de Querétaro que determina </w:t>
      </w:r>
      <w:r w:rsidRPr="00DE57CE">
        <w:rPr>
          <w:rFonts w:ascii="Gothic720 BT" w:eastAsia="Times New Roman" w:hAnsi="Gothic720 BT" w:cs="Times New Roman"/>
          <w:bCs/>
          <w:lang w:eastAsia="es-MX"/>
        </w:rPr>
        <w:t>el financiamiento público destinado a los partidos políticos para actividades ordinarias permanente</w:t>
      </w:r>
      <w:r w:rsidR="009D1AC0">
        <w:rPr>
          <w:rFonts w:ascii="Gothic720 BT" w:eastAsia="Times New Roman" w:hAnsi="Gothic720 BT" w:cs="Times New Roman"/>
          <w:bCs/>
          <w:lang w:eastAsia="es-MX"/>
        </w:rPr>
        <w:t xml:space="preserve">s y especificas durante el 2020, con clave de identificación IEEQ/CG/A/004/20. </w:t>
      </w:r>
    </w:p>
    <w:p w:rsidR="00DE57CE" w:rsidRPr="00DE57CE" w:rsidRDefault="00DE57CE" w:rsidP="00DE57CE">
      <w:pPr>
        <w:spacing w:after="0" w:line="240" w:lineRule="auto"/>
        <w:ind w:left="1134"/>
        <w:jc w:val="both"/>
        <w:textAlignment w:val="baseline"/>
        <w:rPr>
          <w:rFonts w:ascii="Gothic720 BT" w:eastAsia="Times New Roman" w:hAnsi="Gothic720 BT" w:cs="Times New Roman"/>
          <w:bCs/>
          <w:lang w:eastAsia="es-MX"/>
        </w:rPr>
      </w:pPr>
    </w:p>
    <w:p w:rsidR="00DE57CE" w:rsidRPr="00DE57CE" w:rsidRDefault="00DE57CE" w:rsidP="00DE57CE">
      <w:pPr>
        <w:spacing w:after="0" w:line="240" w:lineRule="auto"/>
        <w:ind w:left="1134"/>
        <w:jc w:val="both"/>
        <w:textAlignment w:val="baseline"/>
        <w:rPr>
          <w:rFonts w:ascii="Gothic720 BT" w:eastAsia="Times New Roman" w:hAnsi="Gothic720 BT" w:cs="Times New Roman"/>
          <w:bCs/>
          <w:lang w:eastAsia="es-MX"/>
        </w:rPr>
      </w:pPr>
      <w:r w:rsidRPr="00DE57CE">
        <w:rPr>
          <w:rFonts w:ascii="Gothic720 BT" w:eastAsia="Times New Roman" w:hAnsi="Gothic720 BT" w:cs="Times New Roman"/>
          <w:bCs/>
          <w:lang w:eastAsia="es-MX"/>
        </w:rPr>
        <w:t>Lo anterior, de conformidad con el artículo 223, fracción III de la Ley Electoral, que señala que para la individualización de las sanciones a las que se refiere el Título Tercero, del régimen sancionador electoral, la autoridad competente deberá tomar en cuenta las circunstancias que rodean la contravención de la norma administrativa, entre otras, las condiciones socioeconómicas del sujeto infractor.</w:t>
      </w:r>
    </w:p>
    <w:p w:rsidR="00DE57CE" w:rsidRPr="00DE57CE" w:rsidRDefault="00DE57CE" w:rsidP="00DE57CE">
      <w:pPr>
        <w:spacing w:after="0" w:line="240" w:lineRule="auto"/>
        <w:ind w:left="1134"/>
        <w:jc w:val="both"/>
        <w:textAlignment w:val="baseline"/>
        <w:rPr>
          <w:rFonts w:ascii="Gothic720 BT" w:eastAsia="Times New Roman" w:hAnsi="Gothic720 BT" w:cs="Times New Roman"/>
          <w:bCs/>
          <w:lang w:eastAsia="es-MX"/>
        </w:rPr>
      </w:pPr>
    </w:p>
    <w:p w:rsidR="00907474" w:rsidRPr="00DE57CE" w:rsidRDefault="00DE57CE" w:rsidP="00DE57CE">
      <w:pPr>
        <w:spacing w:after="0" w:line="240" w:lineRule="auto"/>
        <w:ind w:left="1134"/>
        <w:jc w:val="both"/>
        <w:textAlignment w:val="baseline"/>
        <w:rPr>
          <w:rFonts w:ascii="Gothic720 BT" w:eastAsia="Times New Roman" w:hAnsi="Gothic720 BT" w:cs="Times New Roman"/>
          <w:bCs/>
          <w:lang w:eastAsia="es-MX"/>
        </w:rPr>
      </w:pPr>
      <w:r w:rsidRPr="00DE57CE">
        <w:rPr>
          <w:rFonts w:ascii="Gothic720 BT" w:eastAsia="Times New Roman" w:hAnsi="Gothic720 BT" w:cs="Times New Roman"/>
          <w:bCs/>
          <w:lang w:eastAsia="es-MX"/>
        </w:rPr>
        <w:t>Cabe destacar, que lo anteriormente señalado, no prejuzga sobre la materia de la denuncia, únicamente busca contar con los elementos necesarios para el desempeño de las labores de este Instituto, siempre en observancia del principio de presunción de inocencia que rige en estos procedimientos.</w:t>
      </w:r>
    </w:p>
    <w:p w:rsidR="00DE57CE" w:rsidRPr="00CF34FD" w:rsidRDefault="00DE57CE" w:rsidP="00DE57CE">
      <w:pPr>
        <w:spacing w:after="0" w:line="240" w:lineRule="auto"/>
        <w:ind w:left="1134"/>
        <w:jc w:val="both"/>
        <w:textAlignment w:val="baseline"/>
        <w:rPr>
          <w:rFonts w:ascii="Gothic720 BT" w:eastAsia="Times New Roman" w:hAnsi="Gothic720 BT" w:cs="Times New Roman"/>
          <w:bCs/>
          <w:lang w:eastAsia="es-MX"/>
        </w:rPr>
      </w:pPr>
    </w:p>
    <w:p w:rsidR="00B13E86" w:rsidRPr="0087209C" w:rsidRDefault="00B13E86" w:rsidP="00B13E86">
      <w:pPr>
        <w:spacing w:after="0" w:line="240" w:lineRule="auto"/>
        <w:ind w:left="1134"/>
        <w:jc w:val="both"/>
        <w:textAlignment w:val="baseline"/>
        <w:rPr>
          <w:rFonts w:ascii="Gothic720 BT" w:eastAsia="Times New Roman" w:hAnsi="Gothic720 BT" w:cs="Times New Roman"/>
          <w:b/>
          <w:bCs/>
          <w:lang w:eastAsia="es-MX"/>
        </w:rPr>
      </w:pPr>
      <w:r w:rsidRPr="0087209C">
        <w:rPr>
          <w:rFonts w:ascii="Gothic720 BT" w:eastAsia="Times New Roman" w:hAnsi="Gothic720 BT" w:cs="Times New Roman"/>
          <w:b/>
          <w:bCs/>
          <w:lang w:eastAsia="es-MX"/>
        </w:rPr>
        <w:lastRenderedPageBreak/>
        <w:t>Notifíquese</w:t>
      </w:r>
      <w:r w:rsidR="00C94B29">
        <w:rPr>
          <w:rFonts w:ascii="Gothic720 BT" w:eastAsia="Times New Roman" w:hAnsi="Gothic720 BT" w:cs="Times New Roman"/>
          <w:b/>
          <w:bCs/>
          <w:lang w:eastAsia="es-MX"/>
        </w:rPr>
        <w:t xml:space="preserve"> </w:t>
      </w:r>
      <w:r w:rsidR="00DE57CE">
        <w:rPr>
          <w:rFonts w:ascii="Gothic720 BT" w:eastAsia="Times New Roman" w:hAnsi="Gothic720 BT" w:cs="Times New Roman"/>
          <w:b/>
          <w:bCs/>
          <w:lang w:eastAsia="es-MX"/>
        </w:rPr>
        <w:t>por estrados</w:t>
      </w:r>
      <w:r w:rsidR="00C94B29">
        <w:rPr>
          <w:rFonts w:ascii="Gothic720 BT" w:eastAsia="Times New Roman" w:hAnsi="Gothic720 BT" w:cs="Times New Roman"/>
          <w:b/>
          <w:bCs/>
          <w:lang w:eastAsia="es-MX"/>
        </w:rPr>
        <w:t xml:space="preserve"> </w:t>
      </w:r>
      <w:r w:rsidR="00DE57CE">
        <w:rPr>
          <w:rFonts w:ascii="Gothic720 BT" w:eastAsia="Times New Roman" w:hAnsi="Gothic720 BT" w:cs="Times New Roman"/>
          <w:b/>
          <w:bCs/>
          <w:lang w:eastAsia="es-MX"/>
        </w:rPr>
        <w:t>a las partes</w:t>
      </w:r>
      <w:r>
        <w:rPr>
          <w:rFonts w:ascii="Gothic720 BT" w:eastAsia="Times New Roman" w:hAnsi="Gothic720 BT" w:cs="Times New Roman"/>
          <w:b/>
          <w:bCs/>
          <w:lang w:eastAsia="es-MX"/>
        </w:rPr>
        <w:t xml:space="preserve">, </w:t>
      </w:r>
      <w:r w:rsidRPr="0087209C">
        <w:rPr>
          <w:rFonts w:ascii="Gothic720 BT" w:eastAsia="Times New Roman" w:hAnsi="Gothic720 BT" w:cs="Times New Roman"/>
          <w:b/>
          <w:bCs/>
          <w:lang w:eastAsia="es-MX"/>
        </w:rPr>
        <w:t xml:space="preserve">con fundamento en los artículos 3 de la Ley Electoral; así como </w:t>
      </w:r>
      <w:r>
        <w:rPr>
          <w:rFonts w:ascii="Gothic720 BT" w:hAnsi="Gothic720 BT" w:cs="Arial"/>
          <w:b/>
        </w:rPr>
        <w:t>50</w:t>
      </w:r>
      <w:r w:rsidRPr="0028516C">
        <w:rPr>
          <w:rFonts w:ascii="Gothic720 BT" w:hAnsi="Gothic720 BT" w:cs="Arial"/>
          <w:b/>
        </w:rPr>
        <w:t>, fracci</w:t>
      </w:r>
      <w:r w:rsidR="00AD7AFF">
        <w:rPr>
          <w:rFonts w:ascii="Gothic720 BT" w:hAnsi="Gothic720 BT" w:cs="Arial"/>
          <w:b/>
        </w:rPr>
        <w:t xml:space="preserve">ón </w:t>
      </w:r>
      <w:r w:rsidR="007D1B5C">
        <w:rPr>
          <w:rFonts w:ascii="Gothic720 BT" w:hAnsi="Gothic720 BT" w:cs="Arial"/>
          <w:b/>
        </w:rPr>
        <w:t>I</w:t>
      </w:r>
      <w:r w:rsidR="00FA6B67">
        <w:rPr>
          <w:rFonts w:ascii="Gothic720 BT" w:hAnsi="Gothic720 BT" w:cs="Arial"/>
          <w:b/>
        </w:rPr>
        <w:t>I</w:t>
      </w:r>
      <w:r w:rsidR="00AD7AFF">
        <w:rPr>
          <w:rFonts w:ascii="Gothic720 BT" w:hAnsi="Gothic720 BT" w:cs="Arial"/>
          <w:b/>
        </w:rPr>
        <w:t xml:space="preserve">, </w:t>
      </w:r>
      <w:r w:rsidR="007D1B5C">
        <w:rPr>
          <w:rFonts w:ascii="Gothic720 BT" w:hAnsi="Gothic720 BT" w:cs="Arial"/>
          <w:b/>
        </w:rPr>
        <w:t>52</w:t>
      </w:r>
      <w:r w:rsidR="00FA6B67">
        <w:rPr>
          <w:rFonts w:ascii="Gothic720 BT" w:hAnsi="Gothic720 BT" w:cs="Arial"/>
          <w:b/>
        </w:rPr>
        <w:t xml:space="preserve">, </w:t>
      </w:r>
      <w:r>
        <w:rPr>
          <w:rFonts w:ascii="Gothic720 BT" w:hAnsi="Gothic720 BT" w:cs="Arial"/>
          <w:b/>
        </w:rPr>
        <w:t>y 56,</w:t>
      </w:r>
      <w:r w:rsidR="00FA6B67">
        <w:rPr>
          <w:rFonts w:ascii="Gothic720 BT" w:hAnsi="Gothic720 BT" w:cs="Arial"/>
          <w:b/>
        </w:rPr>
        <w:t xml:space="preserve"> fracci</w:t>
      </w:r>
      <w:r w:rsidR="00AD7AFF">
        <w:rPr>
          <w:rFonts w:ascii="Gothic720 BT" w:hAnsi="Gothic720 BT" w:cs="Arial"/>
          <w:b/>
        </w:rPr>
        <w:t xml:space="preserve">ón </w:t>
      </w:r>
      <w:r>
        <w:rPr>
          <w:rFonts w:ascii="Gothic720 BT" w:hAnsi="Gothic720 BT" w:cs="Arial"/>
          <w:b/>
        </w:rPr>
        <w:t>I</w:t>
      </w:r>
      <w:r w:rsidR="007D1B5C">
        <w:rPr>
          <w:rFonts w:ascii="Gothic720 BT" w:hAnsi="Gothic720 BT" w:cs="Arial"/>
          <w:b/>
        </w:rPr>
        <w:t>I</w:t>
      </w:r>
      <w:r w:rsidR="00FA6B67">
        <w:rPr>
          <w:rFonts w:ascii="Gothic720 BT" w:hAnsi="Gothic720 BT" w:cs="Arial"/>
          <w:b/>
        </w:rPr>
        <w:t xml:space="preserve"> </w:t>
      </w:r>
      <w:r w:rsidRPr="0087209C">
        <w:rPr>
          <w:rFonts w:ascii="Gothic720 BT" w:eastAsia="Times New Roman" w:hAnsi="Gothic720 BT" w:cs="Times New Roman"/>
          <w:b/>
          <w:bCs/>
          <w:lang w:eastAsia="es-MX"/>
        </w:rPr>
        <w:t>de la Ley de Medios</w:t>
      </w:r>
      <w:r w:rsidR="007D1B5C">
        <w:rPr>
          <w:rFonts w:ascii="Gothic720 BT" w:eastAsia="Times New Roman" w:hAnsi="Gothic720 BT" w:cs="Times New Roman"/>
          <w:b/>
          <w:bCs/>
          <w:lang w:eastAsia="es-MX"/>
        </w:rPr>
        <w:t xml:space="preserve"> de Impugnación en Material Electoral del Estado de Querétaro</w:t>
      </w:r>
      <w:r w:rsidRPr="0087209C">
        <w:rPr>
          <w:rFonts w:ascii="Gothic720 BT" w:eastAsia="Times New Roman" w:hAnsi="Gothic720 BT" w:cs="Times New Roman"/>
          <w:b/>
          <w:bCs/>
          <w:lang w:eastAsia="es-MX"/>
        </w:rPr>
        <w:t>.</w:t>
      </w:r>
    </w:p>
    <w:p w:rsidR="00B13E86" w:rsidRDefault="00B13E86" w:rsidP="00B13E86">
      <w:pPr>
        <w:spacing w:after="0" w:line="240" w:lineRule="auto"/>
        <w:jc w:val="both"/>
        <w:textAlignment w:val="baseline"/>
        <w:rPr>
          <w:rFonts w:ascii="Gothic720 BT" w:eastAsia="Times New Roman" w:hAnsi="Gothic720 BT" w:cs="Times New Roman"/>
          <w:bCs/>
          <w:lang w:eastAsia="es-MX"/>
        </w:rPr>
      </w:pPr>
    </w:p>
    <w:p w:rsidR="00B13E86" w:rsidRPr="00CF34FD" w:rsidRDefault="00B13E86" w:rsidP="00B13E86">
      <w:pPr>
        <w:spacing w:after="0" w:line="240" w:lineRule="auto"/>
        <w:ind w:left="1134"/>
        <w:jc w:val="both"/>
        <w:textAlignment w:val="baseline"/>
        <w:rPr>
          <w:rFonts w:ascii="Gothic720 BT" w:eastAsia="Times New Roman" w:hAnsi="Gothic720 BT" w:cs="Times New Roman"/>
          <w:bCs/>
          <w:lang w:eastAsia="es-MX"/>
        </w:rPr>
      </w:pPr>
    </w:p>
    <w:p w:rsidR="00B13E86" w:rsidRPr="00870E7A" w:rsidRDefault="00B13E86" w:rsidP="00B13E86">
      <w:pPr>
        <w:spacing w:after="0" w:line="240" w:lineRule="auto"/>
        <w:ind w:left="1134"/>
        <w:jc w:val="both"/>
        <w:textAlignment w:val="baseline"/>
        <w:rPr>
          <w:rFonts w:ascii="Gothic720 BT" w:eastAsia="Times New Roman" w:hAnsi="Gothic720 BT" w:cs="Times New Roman"/>
          <w:lang w:val="es-ES" w:eastAsia="es-MX"/>
        </w:rPr>
      </w:pPr>
      <w:r w:rsidRPr="00870E7A">
        <w:rPr>
          <w:rFonts w:ascii="Gothic720 BT" w:eastAsia="Times New Roman" w:hAnsi="Gothic720 BT" w:cs="Times New Roman"/>
          <w:lang w:val="es-ES" w:eastAsia="es-MX"/>
        </w:rPr>
        <w:t xml:space="preserve">Así lo proveyó y firmó el Director Ejecutivo de Asuntos Jurídicos. </w:t>
      </w:r>
      <w:r w:rsidRPr="00870E7A">
        <w:rPr>
          <w:rFonts w:ascii="Gothic720 BT" w:eastAsia="Times New Roman" w:hAnsi="Gothic720 BT" w:cs="Times New Roman"/>
          <w:b/>
          <w:bCs/>
          <w:lang w:val="es-ES" w:eastAsia="es-MX"/>
        </w:rPr>
        <w:t>CONSTE</w:t>
      </w:r>
      <w:r w:rsidRPr="00870E7A">
        <w:rPr>
          <w:rFonts w:ascii="Gothic720 BT" w:eastAsia="Times New Roman" w:hAnsi="Gothic720 BT" w:cs="Times New Roman"/>
          <w:lang w:val="es-ES" w:eastAsia="es-MX"/>
        </w:rPr>
        <w:t>.  </w:t>
      </w:r>
    </w:p>
    <w:p w:rsidR="00B13E86" w:rsidRDefault="00B13E86" w:rsidP="00B13E86">
      <w:pPr>
        <w:spacing w:after="0" w:line="240" w:lineRule="auto"/>
        <w:ind w:left="1134"/>
        <w:jc w:val="center"/>
        <w:textAlignment w:val="baseline"/>
        <w:rPr>
          <w:rFonts w:ascii="Gothic720 BT" w:eastAsia="Times New Roman" w:hAnsi="Gothic720 BT" w:cs="Times New Roman"/>
          <w:b/>
          <w:bCs/>
          <w:lang w:eastAsia="es-MX"/>
        </w:rPr>
      </w:pPr>
    </w:p>
    <w:p w:rsidR="00B13E86" w:rsidRDefault="00B13E86" w:rsidP="00B13E86">
      <w:pPr>
        <w:spacing w:after="0" w:line="240" w:lineRule="auto"/>
        <w:jc w:val="center"/>
        <w:textAlignment w:val="baseline"/>
        <w:rPr>
          <w:rFonts w:ascii="Gothic720 BT" w:eastAsia="Times New Roman" w:hAnsi="Gothic720 BT" w:cs="Times New Roman"/>
          <w:b/>
          <w:bCs/>
          <w:lang w:eastAsia="es-MX"/>
        </w:rPr>
      </w:pPr>
    </w:p>
    <w:p w:rsidR="00B13E86" w:rsidRDefault="00B13E86" w:rsidP="00B13E86">
      <w:pPr>
        <w:spacing w:after="0" w:line="240" w:lineRule="auto"/>
        <w:jc w:val="center"/>
        <w:textAlignment w:val="baseline"/>
        <w:rPr>
          <w:rFonts w:ascii="Gothic720 BT" w:eastAsia="Times New Roman" w:hAnsi="Gothic720 BT" w:cs="Times New Roman"/>
          <w:b/>
          <w:bCs/>
          <w:lang w:eastAsia="es-MX"/>
        </w:rPr>
      </w:pPr>
    </w:p>
    <w:p w:rsidR="00B13E86" w:rsidRPr="003A2117" w:rsidRDefault="00B13E86" w:rsidP="00B13E86">
      <w:pPr>
        <w:spacing w:after="0" w:line="240" w:lineRule="auto"/>
        <w:jc w:val="center"/>
        <w:textAlignment w:val="baseline"/>
        <w:rPr>
          <w:rFonts w:ascii="Gothic720 BT" w:eastAsia="Times New Roman" w:hAnsi="Gothic720 BT" w:cs="Times New Roman"/>
          <w:b/>
          <w:bCs/>
          <w:lang w:eastAsia="es-MX"/>
        </w:rPr>
      </w:pPr>
    </w:p>
    <w:p w:rsidR="00B13E86" w:rsidRPr="00870E7A" w:rsidRDefault="00B13E86" w:rsidP="00B13E86">
      <w:pPr>
        <w:spacing w:after="0" w:line="240" w:lineRule="auto"/>
        <w:jc w:val="center"/>
        <w:textAlignment w:val="baseline"/>
        <w:rPr>
          <w:rFonts w:ascii="Gothic720 BT" w:eastAsia="Times New Roman" w:hAnsi="Gothic720 BT" w:cs="Times New Roman"/>
          <w:lang w:val="es-ES" w:eastAsia="es-MX"/>
        </w:rPr>
      </w:pPr>
      <w:r>
        <w:rPr>
          <w:rFonts w:ascii="Gothic720 BT" w:eastAsia="Times New Roman" w:hAnsi="Gothic720 BT" w:cs="Times New Roman"/>
          <w:b/>
          <w:bCs/>
          <w:lang w:eastAsia="es-MX"/>
        </w:rPr>
        <w:t xml:space="preserve">                </w:t>
      </w:r>
      <w:r w:rsidRPr="00870E7A">
        <w:rPr>
          <w:rFonts w:ascii="Gothic720 BT" w:eastAsia="Times New Roman" w:hAnsi="Gothic720 BT" w:cs="Times New Roman"/>
          <w:b/>
          <w:bCs/>
          <w:lang w:eastAsia="es-MX"/>
        </w:rPr>
        <w:t>Dr. Juan Rivera Hernández</w:t>
      </w:r>
    </w:p>
    <w:p w:rsidR="00B13E86" w:rsidRDefault="00B13E86" w:rsidP="00B13E86">
      <w:pPr>
        <w:ind w:left="1134"/>
        <w:jc w:val="center"/>
        <w:rPr>
          <w:rFonts w:ascii="Gothic720 BT" w:eastAsia="Times New Roman" w:hAnsi="Gothic720 BT" w:cs="Times New Roman"/>
          <w:lang w:eastAsia="es-MX"/>
        </w:rPr>
      </w:pPr>
      <w:r w:rsidRPr="00870E7A">
        <w:rPr>
          <w:rFonts w:ascii="Gothic720 BT" w:eastAsia="Times New Roman" w:hAnsi="Gothic720 BT" w:cs="Times New Roman"/>
          <w:lang w:eastAsia="es-MX"/>
        </w:rPr>
        <w:t>Director Ejecutivo de Asuntos Jurídicos</w:t>
      </w:r>
    </w:p>
    <w:p w:rsidR="00B13E86" w:rsidRDefault="00B13E86" w:rsidP="00B13E86">
      <w:pPr>
        <w:pStyle w:val="Default"/>
        <w:jc w:val="both"/>
        <w:rPr>
          <w:rFonts w:ascii="Gothic720 BT" w:hAnsi="Gothic720 BT" w:cs="Arial"/>
          <w:b/>
          <w:bCs/>
          <w:sz w:val="22"/>
          <w:szCs w:val="22"/>
        </w:rPr>
      </w:pPr>
    </w:p>
    <w:p w:rsidR="00B13E86" w:rsidRDefault="00B13E86" w:rsidP="00B13E86">
      <w:pPr>
        <w:pStyle w:val="Default"/>
        <w:ind w:left="993"/>
        <w:jc w:val="both"/>
        <w:rPr>
          <w:rFonts w:ascii="Gothic720 BT" w:hAnsi="Gothic720 BT" w:cs="Arial"/>
          <w:b/>
          <w:bCs/>
          <w:sz w:val="22"/>
          <w:szCs w:val="22"/>
        </w:rPr>
      </w:pPr>
    </w:p>
    <w:p w:rsidR="00B13E86" w:rsidRDefault="00B13E86" w:rsidP="00B13E86">
      <w:pPr>
        <w:pStyle w:val="Default"/>
        <w:ind w:left="993"/>
        <w:jc w:val="both"/>
        <w:rPr>
          <w:rFonts w:ascii="Gothic720 BT" w:hAnsi="Gothic720 BT" w:cs="Arial"/>
          <w:b/>
          <w:bCs/>
          <w:sz w:val="22"/>
          <w:szCs w:val="22"/>
        </w:rPr>
      </w:pPr>
    </w:p>
    <w:p w:rsidR="00600740" w:rsidRDefault="00600740" w:rsidP="00B13E86">
      <w:pPr>
        <w:pStyle w:val="Default"/>
        <w:ind w:left="993"/>
        <w:jc w:val="both"/>
        <w:rPr>
          <w:rFonts w:ascii="Gothic720 BT" w:hAnsi="Gothic720 BT" w:cs="Arial"/>
          <w:b/>
          <w:bCs/>
          <w:sz w:val="22"/>
          <w:szCs w:val="22"/>
        </w:rPr>
      </w:pPr>
    </w:p>
    <w:p w:rsidR="00600740" w:rsidRDefault="00600740" w:rsidP="00B13E86">
      <w:pPr>
        <w:pStyle w:val="Default"/>
        <w:ind w:left="993"/>
        <w:jc w:val="both"/>
        <w:rPr>
          <w:rFonts w:ascii="Gothic720 BT" w:hAnsi="Gothic720 BT" w:cs="Arial"/>
          <w:b/>
          <w:bCs/>
          <w:sz w:val="22"/>
          <w:szCs w:val="22"/>
        </w:rPr>
      </w:pPr>
    </w:p>
    <w:p w:rsidR="00600740" w:rsidRDefault="00600740" w:rsidP="00B13E86">
      <w:pPr>
        <w:pStyle w:val="Default"/>
        <w:ind w:left="993"/>
        <w:jc w:val="both"/>
        <w:rPr>
          <w:rFonts w:ascii="Gothic720 BT" w:hAnsi="Gothic720 BT" w:cs="Arial"/>
          <w:b/>
          <w:bCs/>
          <w:sz w:val="22"/>
          <w:szCs w:val="22"/>
        </w:rPr>
      </w:pPr>
    </w:p>
    <w:p w:rsidR="00600740" w:rsidRDefault="00600740" w:rsidP="00B13E86">
      <w:pPr>
        <w:pStyle w:val="Default"/>
        <w:ind w:left="993"/>
        <w:jc w:val="both"/>
        <w:rPr>
          <w:rFonts w:ascii="Gothic720 BT" w:hAnsi="Gothic720 BT" w:cs="Arial"/>
          <w:b/>
          <w:bCs/>
          <w:sz w:val="22"/>
          <w:szCs w:val="22"/>
        </w:rPr>
      </w:pPr>
    </w:p>
    <w:p w:rsidR="00600740" w:rsidRDefault="00600740" w:rsidP="00B13E86">
      <w:pPr>
        <w:pStyle w:val="Default"/>
        <w:ind w:left="993"/>
        <w:jc w:val="both"/>
        <w:rPr>
          <w:rFonts w:ascii="Gothic720 BT" w:hAnsi="Gothic720 BT" w:cs="Arial"/>
          <w:b/>
          <w:bCs/>
          <w:sz w:val="22"/>
          <w:szCs w:val="22"/>
        </w:rPr>
      </w:pPr>
    </w:p>
    <w:p w:rsidR="00600740" w:rsidRDefault="00600740" w:rsidP="00B13E86">
      <w:pPr>
        <w:pStyle w:val="Default"/>
        <w:ind w:left="993"/>
        <w:jc w:val="both"/>
        <w:rPr>
          <w:rFonts w:ascii="Gothic720 BT" w:hAnsi="Gothic720 BT" w:cs="Arial"/>
          <w:b/>
          <w:bCs/>
          <w:sz w:val="22"/>
          <w:szCs w:val="22"/>
        </w:rPr>
      </w:pPr>
    </w:p>
    <w:p w:rsidR="00600740" w:rsidRDefault="00600740" w:rsidP="00B13E86">
      <w:pPr>
        <w:pStyle w:val="Default"/>
        <w:ind w:left="993"/>
        <w:jc w:val="both"/>
        <w:rPr>
          <w:rFonts w:ascii="Gothic720 BT" w:hAnsi="Gothic720 BT" w:cs="Arial"/>
          <w:b/>
          <w:bCs/>
          <w:sz w:val="22"/>
          <w:szCs w:val="22"/>
        </w:rPr>
      </w:pPr>
    </w:p>
    <w:p w:rsidR="00600740" w:rsidRDefault="00600740" w:rsidP="00B13E86">
      <w:pPr>
        <w:pStyle w:val="Default"/>
        <w:ind w:left="993"/>
        <w:jc w:val="both"/>
        <w:rPr>
          <w:rFonts w:ascii="Gothic720 BT" w:hAnsi="Gothic720 BT" w:cs="Arial"/>
          <w:b/>
          <w:bCs/>
          <w:sz w:val="22"/>
          <w:szCs w:val="22"/>
        </w:rPr>
      </w:pPr>
    </w:p>
    <w:p w:rsidR="00600740" w:rsidRDefault="00600740" w:rsidP="00B13E86">
      <w:pPr>
        <w:pStyle w:val="Default"/>
        <w:ind w:left="993"/>
        <w:jc w:val="both"/>
        <w:rPr>
          <w:rFonts w:ascii="Gothic720 BT" w:hAnsi="Gothic720 BT" w:cs="Arial"/>
          <w:b/>
          <w:bCs/>
          <w:sz w:val="22"/>
          <w:szCs w:val="22"/>
        </w:rPr>
      </w:pPr>
    </w:p>
    <w:p w:rsidR="00600740" w:rsidRDefault="00600740" w:rsidP="00B13E86">
      <w:pPr>
        <w:pStyle w:val="Default"/>
        <w:ind w:left="993"/>
        <w:jc w:val="both"/>
        <w:rPr>
          <w:rFonts w:ascii="Gothic720 BT" w:hAnsi="Gothic720 BT" w:cs="Arial"/>
          <w:b/>
          <w:bCs/>
          <w:sz w:val="22"/>
          <w:szCs w:val="22"/>
        </w:rPr>
      </w:pPr>
    </w:p>
    <w:p w:rsidR="00600740" w:rsidRDefault="00600740" w:rsidP="00B13E86">
      <w:pPr>
        <w:pStyle w:val="Default"/>
        <w:ind w:left="993"/>
        <w:jc w:val="both"/>
        <w:rPr>
          <w:rFonts w:ascii="Gothic720 BT" w:hAnsi="Gothic720 BT" w:cs="Arial"/>
          <w:b/>
          <w:bCs/>
          <w:sz w:val="22"/>
          <w:szCs w:val="22"/>
        </w:rPr>
      </w:pPr>
    </w:p>
    <w:p w:rsidR="00600740" w:rsidRDefault="00600740" w:rsidP="00B13E86">
      <w:pPr>
        <w:pStyle w:val="Default"/>
        <w:ind w:left="993"/>
        <w:jc w:val="both"/>
        <w:rPr>
          <w:rFonts w:ascii="Gothic720 BT" w:hAnsi="Gothic720 BT" w:cs="Arial"/>
          <w:b/>
          <w:bCs/>
          <w:sz w:val="22"/>
          <w:szCs w:val="22"/>
        </w:rPr>
      </w:pPr>
    </w:p>
    <w:p w:rsidR="00600740" w:rsidRDefault="00600740" w:rsidP="00B13E86">
      <w:pPr>
        <w:pStyle w:val="Default"/>
        <w:ind w:left="993"/>
        <w:jc w:val="both"/>
        <w:rPr>
          <w:rFonts w:ascii="Gothic720 BT" w:hAnsi="Gothic720 BT" w:cs="Arial"/>
          <w:b/>
          <w:bCs/>
          <w:sz w:val="22"/>
          <w:szCs w:val="22"/>
        </w:rPr>
      </w:pPr>
    </w:p>
    <w:p w:rsidR="00600740" w:rsidRDefault="00600740" w:rsidP="00B13E86">
      <w:pPr>
        <w:pStyle w:val="Default"/>
        <w:ind w:left="993"/>
        <w:jc w:val="both"/>
        <w:rPr>
          <w:rFonts w:ascii="Gothic720 BT" w:hAnsi="Gothic720 BT" w:cs="Arial"/>
          <w:b/>
          <w:bCs/>
          <w:sz w:val="22"/>
          <w:szCs w:val="22"/>
        </w:rPr>
      </w:pPr>
    </w:p>
    <w:p w:rsidR="00600740" w:rsidRDefault="00600740" w:rsidP="00B13E86">
      <w:pPr>
        <w:pStyle w:val="Default"/>
        <w:ind w:left="993"/>
        <w:jc w:val="both"/>
        <w:rPr>
          <w:rFonts w:ascii="Gothic720 BT" w:hAnsi="Gothic720 BT" w:cs="Arial"/>
          <w:b/>
          <w:bCs/>
          <w:sz w:val="22"/>
          <w:szCs w:val="22"/>
        </w:rPr>
      </w:pPr>
    </w:p>
    <w:p w:rsidR="00600740" w:rsidRDefault="00600740" w:rsidP="00B13E86">
      <w:pPr>
        <w:pStyle w:val="Default"/>
        <w:ind w:left="993"/>
        <w:jc w:val="both"/>
        <w:rPr>
          <w:rFonts w:ascii="Gothic720 BT" w:hAnsi="Gothic720 BT" w:cs="Arial"/>
          <w:b/>
          <w:bCs/>
          <w:sz w:val="22"/>
          <w:szCs w:val="22"/>
        </w:rPr>
      </w:pPr>
    </w:p>
    <w:p w:rsidR="00600740" w:rsidRDefault="00600740" w:rsidP="00B13E86">
      <w:pPr>
        <w:pStyle w:val="Default"/>
        <w:ind w:left="993"/>
        <w:jc w:val="both"/>
        <w:rPr>
          <w:rFonts w:ascii="Gothic720 BT" w:hAnsi="Gothic720 BT" w:cs="Arial"/>
          <w:b/>
          <w:bCs/>
          <w:sz w:val="22"/>
          <w:szCs w:val="22"/>
        </w:rPr>
      </w:pPr>
    </w:p>
    <w:p w:rsidR="00600740" w:rsidRDefault="00600740" w:rsidP="00B13E86">
      <w:pPr>
        <w:pStyle w:val="Default"/>
        <w:ind w:left="993"/>
        <w:jc w:val="both"/>
        <w:rPr>
          <w:rFonts w:ascii="Gothic720 BT" w:hAnsi="Gothic720 BT" w:cs="Arial"/>
          <w:b/>
          <w:bCs/>
          <w:sz w:val="22"/>
          <w:szCs w:val="22"/>
        </w:rPr>
      </w:pPr>
    </w:p>
    <w:p w:rsidR="00CD0C7E" w:rsidRDefault="00CD0C7E">
      <w:pPr>
        <w:rPr>
          <w:rFonts w:ascii="Gothic720 BT" w:eastAsia="Calibri" w:hAnsi="Gothic720 BT" w:cs="Arial"/>
          <w:b/>
          <w:bCs/>
          <w:color w:val="000000"/>
          <w:lang w:val="es-ES"/>
        </w:rPr>
      </w:pPr>
      <w:r>
        <w:rPr>
          <w:rFonts w:ascii="Gothic720 BT" w:hAnsi="Gothic720 BT" w:cs="Arial"/>
          <w:b/>
          <w:bCs/>
        </w:rPr>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277"/>
      </w:tblGrid>
      <w:tr w:rsidR="00CD0C7E" w:rsidTr="002A63EA">
        <w:trPr>
          <w:trHeight w:val="2296"/>
        </w:trPr>
        <w:tc>
          <w:tcPr>
            <w:tcW w:w="3652" w:type="dxa"/>
          </w:tcPr>
          <w:p w:rsidR="00CD0C7E" w:rsidRPr="00D0708B" w:rsidRDefault="00CD0C7E" w:rsidP="002A63EA">
            <w:pPr>
              <w:jc w:val="right"/>
              <w:rPr>
                <w:rFonts w:ascii="Gothic720 BT" w:hAnsi="Gothic720 BT"/>
                <w:b/>
              </w:rPr>
            </w:pPr>
          </w:p>
        </w:tc>
        <w:tc>
          <w:tcPr>
            <w:tcW w:w="5277" w:type="dxa"/>
          </w:tcPr>
          <w:p w:rsidR="00CD0C7E" w:rsidRPr="009102DC" w:rsidRDefault="00CD0C7E" w:rsidP="002A63EA">
            <w:pPr>
              <w:jc w:val="both"/>
              <w:rPr>
                <w:rFonts w:ascii="Gothic720 BT" w:hAnsi="Gothic720 BT"/>
                <w:b/>
              </w:rPr>
            </w:pPr>
            <w:r w:rsidRPr="009102DC">
              <w:rPr>
                <w:rFonts w:ascii="Gothic720 BT" w:hAnsi="Gothic720 BT"/>
                <w:b/>
              </w:rPr>
              <w:t xml:space="preserve">PROCEDIMIENTO </w:t>
            </w:r>
            <w:r>
              <w:rPr>
                <w:rFonts w:ascii="Gothic720 BT" w:hAnsi="Gothic720 BT"/>
                <w:b/>
              </w:rPr>
              <w:t xml:space="preserve">ORDINARIO </w:t>
            </w:r>
            <w:r w:rsidRPr="009102DC">
              <w:rPr>
                <w:rFonts w:ascii="Gothic720 BT" w:hAnsi="Gothic720 BT"/>
                <w:b/>
              </w:rPr>
              <w:t>SANCIONADOR</w:t>
            </w:r>
          </w:p>
          <w:p w:rsidR="00CD0C7E" w:rsidRPr="009102DC" w:rsidRDefault="00CD0C7E" w:rsidP="002A63EA">
            <w:pPr>
              <w:jc w:val="both"/>
              <w:rPr>
                <w:rFonts w:ascii="Gothic720 BT" w:hAnsi="Gothic720 BT"/>
                <w:b/>
              </w:rPr>
            </w:pPr>
          </w:p>
          <w:p w:rsidR="00CD0C7E" w:rsidRPr="009102DC" w:rsidRDefault="00CD0C7E" w:rsidP="002A63EA">
            <w:pPr>
              <w:jc w:val="both"/>
              <w:rPr>
                <w:rFonts w:ascii="Gothic720 BT" w:hAnsi="Gothic720 BT"/>
                <w:b/>
              </w:rPr>
            </w:pPr>
            <w:r w:rsidRPr="009102DC">
              <w:rPr>
                <w:rFonts w:ascii="Gothic720 BT" w:hAnsi="Gothic720 BT"/>
                <w:b/>
              </w:rPr>
              <w:t xml:space="preserve">EXPEDIENTE: </w:t>
            </w:r>
            <w:r>
              <w:rPr>
                <w:rFonts w:ascii="Gothic720 BT" w:hAnsi="Gothic720 BT"/>
              </w:rPr>
              <w:t>IEEQ/POS/003/2021</w:t>
            </w:r>
            <w:r w:rsidRPr="009102DC">
              <w:rPr>
                <w:rFonts w:ascii="Gothic720 BT" w:hAnsi="Gothic720 BT"/>
              </w:rPr>
              <w:t>-P.</w:t>
            </w:r>
          </w:p>
          <w:p w:rsidR="00CD0C7E" w:rsidRDefault="00CD0C7E" w:rsidP="002A63EA">
            <w:pPr>
              <w:jc w:val="both"/>
              <w:rPr>
                <w:rFonts w:ascii="Gothic720 BT" w:hAnsi="Gothic720 BT"/>
              </w:rPr>
            </w:pPr>
          </w:p>
          <w:p w:rsidR="00CD0C7E" w:rsidRDefault="00CD0C7E" w:rsidP="002A63EA">
            <w:pPr>
              <w:jc w:val="both"/>
              <w:rPr>
                <w:rFonts w:ascii="Gothic720 BT" w:hAnsi="Gothic720 BT"/>
              </w:rPr>
            </w:pPr>
            <w:r w:rsidRPr="00EF607D">
              <w:rPr>
                <w:rFonts w:ascii="Gothic720 BT" w:hAnsi="Gothic720 BT"/>
                <w:b/>
              </w:rPr>
              <w:t>DENUNCIADO:</w:t>
            </w:r>
            <w:r>
              <w:rPr>
                <w:rFonts w:ascii="Gothic720 BT" w:hAnsi="Gothic720 BT"/>
              </w:rPr>
              <w:t xml:space="preserve"> PARTIDO QUERÉTARO INDEPENDIENTE. </w:t>
            </w:r>
          </w:p>
          <w:p w:rsidR="00CD0C7E" w:rsidRPr="009102DC" w:rsidRDefault="00CD0C7E" w:rsidP="002A63EA">
            <w:pPr>
              <w:jc w:val="both"/>
              <w:rPr>
                <w:rFonts w:ascii="Gothic720 BT" w:hAnsi="Gothic720 BT"/>
                <w:b/>
              </w:rPr>
            </w:pPr>
          </w:p>
          <w:p w:rsidR="00CD0C7E" w:rsidRPr="00D0708B" w:rsidRDefault="00CD0C7E" w:rsidP="002A63EA">
            <w:pPr>
              <w:jc w:val="both"/>
              <w:rPr>
                <w:rFonts w:ascii="Gothic720 BT" w:hAnsi="Gothic720 BT"/>
                <w:b/>
              </w:rPr>
            </w:pPr>
            <w:r w:rsidRPr="009102DC">
              <w:rPr>
                <w:rFonts w:ascii="Gothic720 BT" w:hAnsi="Gothic720 BT"/>
                <w:b/>
              </w:rPr>
              <w:t>ASUNTO:</w:t>
            </w:r>
            <w:r>
              <w:rPr>
                <w:rFonts w:ascii="Gothic720 BT" w:hAnsi="Gothic720 BT"/>
                <w:b/>
              </w:rPr>
              <w:t xml:space="preserve"> </w:t>
            </w:r>
            <w:r w:rsidRPr="004A29B6">
              <w:rPr>
                <w:rFonts w:ascii="Gothic720 BT" w:eastAsia="Times New Roman" w:hAnsi="Gothic720 BT" w:cs="Times New Roman"/>
                <w:bCs/>
                <w:lang w:eastAsia="es-MX"/>
              </w:rPr>
              <w:t>CERTIFICACIÓN</w:t>
            </w:r>
            <w:r w:rsidRPr="004A29B6">
              <w:rPr>
                <w:rFonts w:ascii="Gothic720 BT" w:hAnsi="Gothic720 BT"/>
              </w:rPr>
              <w:t>.</w:t>
            </w:r>
          </w:p>
        </w:tc>
      </w:tr>
    </w:tbl>
    <w:p w:rsidR="00CD0C7E" w:rsidRPr="00D0708B" w:rsidRDefault="00CD0C7E" w:rsidP="00CD0C7E">
      <w:pPr>
        <w:rPr>
          <w:rFonts w:ascii="Gothic720 BT" w:hAnsi="Gothic720 BT"/>
          <w:b/>
        </w:rPr>
      </w:pPr>
      <w:bookmarkStart w:id="0" w:name="_GoBack"/>
      <w:bookmarkEnd w:id="0"/>
    </w:p>
    <w:p w:rsidR="00CD0C7E" w:rsidRPr="00D0708B" w:rsidRDefault="00CD0C7E" w:rsidP="00CD0C7E">
      <w:pPr>
        <w:ind w:right="-142"/>
        <w:jc w:val="both"/>
        <w:rPr>
          <w:rFonts w:ascii="Gothic720 BT" w:hAnsi="Gothic720 BT" w:cs="Arial"/>
          <w:b/>
          <w:bCs/>
        </w:rPr>
      </w:pPr>
      <w:r w:rsidRPr="00D0708B">
        <w:rPr>
          <w:rFonts w:ascii="Gothic720 BT" w:hAnsi="Gothic720 BT" w:cs="Arial"/>
          <w:bCs/>
        </w:rPr>
        <w:t xml:space="preserve">En la ciudad de Santiago de Querétaro, Querétaro, siendo las </w:t>
      </w:r>
      <w:r>
        <w:rPr>
          <w:rFonts w:ascii="Gothic720 BT" w:hAnsi="Gothic720 BT" w:cs="Arial"/>
          <w:bCs/>
        </w:rPr>
        <w:t xml:space="preserve">once </w:t>
      </w:r>
      <w:r w:rsidRPr="00D0708B">
        <w:rPr>
          <w:rFonts w:ascii="Gothic720 BT" w:hAnsi="Gothic720 BT" w:cs="Arial"/>
          <w:bCs/>
        </w:rPr>
        <w:t xml:space="preserve">horas con </w:t>
      </w:r>
      <w:r>
        <w:rPr>
          <w:rFonts w:ascii="Gothic720 BT" w:hAnsi="Gothic720 BT" w:cs="Arial"/>
          <w:bCs/>
        </w:rPr>
        <w:t xml:space="preserve">treinta </w:t>
      </w:r>
      <w:r w:rsidRPr="00D0708B">
        <w:rPr>
          <w:rFonts w:ascii="Gothic720 BT" w:hAnsi="Gothic720 BT" w:cs="Arial"/>
          <w:bCs/>
        </w:rPr>
        <w:t xml:space="preserve">minutos del </w:t>
      </w:r>
      <w:r>
        <w:rPr>
          <w:rFonts w:ascii="Gothic720 BT" w:hAnsi="Gothic720 BT" w:cs="Arial"/>
          <w:bCs/>
        </w:rPr>
        <w:t xml:space="preserve">diecinueve </w:t>
      </w:r>
      <w:r w:rsidRPr="00D0708B">
        <w:rPr>
          <w:rFonts w:ascii="Gothic720 BT" w:hAnsi="Gothic720 BT" w:cs="Arial"/>
          <w:bCs/>
        </w:rPr>
        <w:t xml:space="preserve">de </w:t>
      </w:r>
      <w:r>
        <w:rPr>
          <w:rFonts w:ascii="Gothic720 BT" w:hAnsi="Gothic720 BT" w:cs="Arial"/>
          <w:bCs/>
        </w:rPr>
        <w:t>febrero de dos mil veintiuno</w:t>
      </w:r>
      <w:r w:rsidRPr="00D0708B">
        <w:rPr>
          <w:rFonts w:ascii="Gothic720 BT" w:hAnsi="Gothic720 BT" w:cs="Arial"/>
          <w:bCs/>
        </w:rPr>
        <w:t xml:space="preserve">, en cumplimiento a lo ordenado en </w:t>
      </w:r>
      <w:r>
        <w:rPr>
          <w:rFonts w:ascii="Gothic720 BT" w:hAnsi="Gothic720 BT" w:cs="Arial"/>
          <w:bCs/>
        </w:rPr>
        <w:t>el proveído de misma fecha, emitido</w:t>
      </w:r>
      <w:r w:rsidRPr="00D0708B">
        <w:rPr>
          <w:rFonts w:ascii="Gothic720 BT" w:hAnsi="Gothic720 BT" w:cs="Arial"/>
          <w:bCs/>
        </w:rPr>
        <w:t xml:space="preserve"> por </w:t>
      </w:r>
      <w:r>
        <w:rPr>
          <w:rFonts w:ascii="Gothic720 BT" w:hAnsi="Gothic720 BT" w:cs="Arial"/>
          <w:bCs/>
        </w:rPr>
        <w:t xml:space="preserve">la Dirección Ejecutiva de Asuntos Jurídicos en el </w:t>
      </w:r>
      <w:r w:rsidRPr="00D0708B">
        <w:rPr>
          <w:rFonts w:ascii="Gothic720 BT" w:hAnsi="Gothic720 BT" w:cs="Arial"/>
          <w:bCs/>
        </w:rPr>
        <w:t xml:space="preserve">expediente citado al rubro, con fundamento en los artículos </w:t>
      </w:r>
      <w:r>
        <w:rPr>
          <w:rFonts w:ascii="Gothic720 BT" w:hAnsi="Gothic720 BT" w:cs="Arial"/>
          <w:bCs/>
        </w:rPr>
        <w:t xml:space="preserve">50 </w:t>
      </w:r>
      <w:r w:rsidRPr="00D0708B">
        <w:rPr>
          <w:rFonts w:ascii="Gothic720 BT" w:hAnsi="Gothic720 BT" w:cs="Arial"/>
          <w:bCs/>
        </w:rPr>
        <w:t xml:space="preserve">fracción II, </w:t>
      </w:r>
      <w:r>
        <w:rPr>
          <w:rFonts w:ascii="Gothic720 BT" w:hAnsi="Gothic720 BT" w:cs="Arial"/>
          <w:bCs/>
        </w:rPr>
        <w:t xml:space="preserve">52 y 56, fracción </w:t>
      </w:r>
      <w:r w:rsidRPr="00D0708B">
        <w:rPr>
          <w:rFonts w:ascii="Gothic720 BT" w:hAnsi="Gothic720 BT" w:cs="Arial"/>
          <w:bCs/>
        </w:rPr>
        <w:t xml:space="preserve">II de la Ley de Medios de Impugnación en Materia Electoral del Estado de Querétaro, se </w:t>
      </w:r>
      <w:r w:rsidRPr="00D0708B">
        <w:rPr>
          <w:rFonts w:ascii="Gothic720 BT" w:hAnsi="Gothic720 BT" w:cs="Arial"/>
          <w:b/>
          <w:bCs/>
        </w:rPr>
        <w:t>NOTIFICA</w:t>
      </w:r>
      <w:r w:rsidRPr="00D0708B">
        <w:rPr>
          <w:rFonts w:ascii="Gothic720 BT" w:hAnsi="Gothic720 BT" w:cs="Arial"/>
          <w:bCs/>
        </w:rPr>
        <w:t xml:space="preserve"> el contenido de</w:t>
      </w:r>
      <w:r>
        <w:rPr>
          <w:rFonts w:ascii="Gothic720 BT" w:hAnsi="Gothic720 BT" w:cs="Arial"/>
          <w:bCs/>
        </w:rPr>
        <w:t xml:space="preserve">l proveído </w:t>
      </w:r>
      <w:r w:rsidRPr="00D0708B">
        <w:rPr>
          <w:rFonts w:ascii="Gothic720 BT" w:hAnsi="Gothic720 BT" w:cs="Arial"/>
          <w:bCs/>
        </w:rPr>
        <w:t xml:space="preserve">de mérito que consta de </w:t>
      </w:r>
      <w:r>
        <w:rPr>
          <w:rFonts w:ascii="Gothic720 BT" w:hAnsi="Gothic720 BT" w:cs="Arial"/>
          <w:bCs/>
        </w:rPr>
        <w:t xml:space="preserve">dos </w:t>
      </w:r>
      <w:r w:rsidRPr="00D0708B">
        <w:rPr>
          <w:rFonts w:ascii="Gothic720 BT" w:hAnsi="Gothic720 BT" w:cs="Arial"/>
          <w:bCs/>
        </w:rPr>
        <w:t>fojas con texto por un solo lado, anexando copia de</w:t>
      </w:r>
      <w:r>
        <w:rPr>
          <w:rFonts w:ascii="Gothic720 BT" w:hAnsi="Gothic720 BT" w:cs="Arial"/>
          <w:bCs/>
        </w:rPr>
        <w:t>l mismo</w:t>
      </w:r>
      <w:r w:rsidRPr="00D0708B">
        <w:rPr>
          <w:rFonts w:ascii="Gothic720 BT" w:hAnsi="Gothic720 BT" w:cs="Arial"/>
          <w:bCs/>
        </w:rPr>
        <w:t xml:space="preserve"> mediante cédula que se fija en los </w:t>
      </w:r>
      <w:r w:rsidRPr="00D0708B">
        <w:rPr>
          <w:rFonts w:ascii="Gothic720 BT" w:hAnsi="Gothic720 BT" w:cs="Arial"/>
          <w:b/>
          <w:bCs/>
        </w:rPr>
        <w:t>ESTRADOS</w:t>
      </w:r>
      <w:r w:rsidRPr="00D0708B">
        <w:rPr>
          <w:rFonts w:ascii="Gothic720 BT" w:hAnsi="Gothic720 BT" w:cs="Arial"/>
          <w:bCs/>
        </w:rPr>
        <w:t xml:space="preserve"> de este Consejo General del Instituto Electoral del Estado de Querétaro, que consta de una foja </w:t>
      </w:r>
      <w:r>
        <w:rPr>
          <w:rFonts w:ascii="Gothic720 BT" w:hAnsi="Gothic720 BT" w:cs="Arial"/>
          <w:bCs/>
        </w:rPr>
        <w:t>útil con texto por un solo lado</w:t>
      </w:r>
      <w:r w:rsidRPr="00D0708B">
        <w:rPr>
          <w:rFonts w:ascii="Gothic720 BT" w:hAnsi="Gothic720 BT" w:cs="Arial"/>
          <w:bCs/>
        </w:rPr>
        <w:t xml:space="preserve">. </w:t>
      </w:r>
      <w:r>
        <w:rPr>
          <w:rFonts w:ascii="Gothic720 BT" w:hAnsi="Gothic720 BT" w:cs="Arial"/>
          <w:b/>
          <w:bCs/>
        </w:rPr>
        <w:t>CONSTE.</w:t>
      </w:r>
    </w:p>
    <w:p w:rsidR="00CD0C7E" w:rsidRDefault="00CD0C7E" w:rsidP="00CD0C7E">
      <w:pPr>
        <w:ind w:left="993"/>
        <w:jc w:val="both"/>
        <w:rPr>
          <w:rFonts w:ascii="Gothic720 BT" w:hAnsi="Gothic720 BT" w:cs="Arial"/>
          <w:b/>
          <w:bCs/>
        </w:rPr>
      </w:pPr>
    </w:p>
    <w:p w:rsidR="00CD0C7E" w:rsidRPr="00D0708B" w:rsidRDefault="00CD0C7E" w:rsidP="00CD0C7E">
      <w:pPr>
        <w:ind w:left="993"/>
        <w:jc w:val="both"/>
        <w:rPr>
          <w:rFonts w:ascii="Gothic720 BT" w:hAnsi="Gothic720 BT" w:cs="Arial"/>
          <w:b/>
          <w:bCs/>
        </w:rPr>
      </w:pPr>
    </w:p>
    <w:p w:rsidR="00CD0C7E" w:rsidRPr="003A5D28" w:rsidRDefault="00CD0C7E" w:rsidP="00CD0C7E">
      <w:pPr>
        <w:textAlignment w:val="baseline"/>
        <w:rPr>
          <w:rFonts w:ascii="Gothic720 BT" w:hAnsi="Gothic720 BT"/>
          <w:b/>
          <w:bCs/>
          <w:lang w:eastAsia="es-MX"/>
        </w:rPr>
      </w:pPr>
    </w:p>
    <w:p w:rsidR="00CD0C7E" w:rsidRPr="003A5D28" w:rsidRDefault="00CD0C7E" w:rsidP="00CD0C7E">
      <w:pPr>
        <w:jc w:val="center"/>
        <w:textAlignment w:val="baseline"/>
        <w:rPr>
          <w:rFonts w:ascii="Gothic720 BT" w:hAnsi="Gothic720 BT"/>
          <w:lang w:eastAsia="es-MX"/>
        </w:rPr>
      </w:pPr>
      <w:r w:rsidRPr="003A5D28">
        <w:rPr>
          <w:rFonts w:ascii="Gothic720 BT" w:hAnsi="Gothic720 BT"/>
          <w:b/>
          <w:bCs/>
          <w:lang w:eastAsia="es-MX"/>
        </w:rPr>
        <w:t>Dr. Juan Rivera Hernández</w:t>
      </w:r>
      <w:r w:rsidRPr="003A5D28">
        <w:rPr>
          <w:rFonts w:ascii="Gothic720 BT" w:hAnsi="Gothic720 BT"/>
          <w:lang w:eastAsia="es-MX"/>
        </w:rPr>
        <w:t> </w:t>
      </w:r>
    </w:p>
    <w:p w:rsidR="00CD0C7E" w:rsidRPr="003A5D28" w:rsidRDefault="00CD0C7E" w:rsidP="00CD0C7E">
      <w:pPr>
        <w:jc w:val="center"/>
        <w:textAlignment w:val="baseline"/>
        <w:rPr>
          <w:rFonts w:ascii="Gothic720 BT" w:hAnsi="Gothic720 BT"/>
          <w:lang w:eastAsia="es-MX"/>
        </w:rPr>
      </w:pPr>
      <w:r w:rsidRPr="003A5D28">
        <w:rPr>
          <w:rFonts w:ascii="Gothic720 BT" w:hAnsi="Gothic720 BT"/>
          <w:lang w:eastAsia="es-MX"/>
        </w:rPr>
        <w:t>Director Ejecutivo de Asuntos Jurídicos</w:t>
      </w:r>
    </w:p>
    <w:p w:rsidR="00600740" w:rsidRDefault="00600740" w:rsidP="003D36F8">
      <w:pPr>
        <w:pStyle w:val="Default"/>
        <w:jc w:val="both"/>
        <w:rPr>
          <w:rFonts w:ascii="Gothic720 BT" w:hAnsi="Gothic720 BT" w:cs="Arial"/>
          <w:b/>
          <w:bCs/>
          <w:sz w:val="22"/>
          <w:szCs w:val="22"/>
        </w:rPr>
      </w:pPr>
    </w:p>
    <w:sectPr w:rsidR="00600740" w:rsidSect="004206E7">
      <w:footerReference w:type="default" r:id="rId9"/>
      <w:pgSz w:w="12240" w:h="15840"/>
      <w:pgMar w:top="297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A61" w:rsidRDefault="005C1A61" w:rsidP="00B13E86">
      <w:pPr>
        <w:spacing w:after="0" w:line="240" w:lineRule="auto"/>
      </w:pPr>
      <w:r>
        <w:separator/>
      </w:r>
    </w:p>
  </w:endnote>
  <w:endnote w:type="continuationSeparator" w:id="0">
    <w:p w:rsidR="005C1A61" w:rsidRDefault="005C1A61" w:rsidP="00B13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ic720 BT">
    <w:panose1 w:val="020C0603020203020204"/>
    <w:charset w:val="00"/>
    <w:family w:val="swiss"/>
    <w:pitch w:val="variable"/>
    <w:sig w:usb0="00000087" w:usb1="00000000" w:usb2="00000000" w:usb3="00000000" w:csb0="0000001B"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thic720 BT" w:hAnsi="Gothic720 BT"/>
        <w:sz w:val="18"/>
        <w:szCs w:val="18"/>
      </w:rPr>
      <w:id w:val="1656105285"/>
      <w:docPartObj>
        <w:docPartGallery w:val="Page Numbers (Bottom of Page)"/>
        <w:docPartUnique/>
      </w:docPartObj>
    </w:sdtPr>
    <w:sdtEndPr/>
    <w:sdtContent>
      <w:p w:rsidR="00C41F20" w:rsidRPr="00C41F20" w:rsidRDefault="002C78FE">
        <w:pPr>
          <w:pStyle w:val="Piedepgina"/>
          <w:jc w:val="center"/>
          <w:rPr>
            <w:rFonts w:ascii="Gothic720 BT" w:hAnsi="Gothic720 BT"/>
            <w:sz w:val="18"/>
            <w:szCs w:val="18"/>
          </w:rPr>
        </w:pPr>
        <w:r w:rsidRPr="00C41F20">
          <w:rPr>
            <w:rFonts w:ascii="Gothic720 BT" w:hAnsi="Gothic720 BT"/>
            <w:sz w:val="18"/>
            <w:szCs w:val="18"/>
          </w:rPr>
          <w:fldChar w:fldCharType="begin"/>
        </w:r>
        <w:r w:rsidRPr="00C41F20">
          <w:rPr>
            <w:rFonts w:ascii="Gothic720 BT" w:hAnsi="Gothic720 BT"/>
            <w:sz w:val="18"/>
            <w:szCs w:val="18"/>
          </w:rPr>
          <w:instrText>PAGE   \* MERGEFORMAT</w:instrText>
        </w:r>
        <w:r w:rsidRPr="00C41F20">
          <w:rPr>
            <w:rFonts w:ascii="Gothic720 BT" w:hAnsi="Gothic720 BT"/>
            <w:sz w:val="18"/>
            <w:szCs w:val="18"/>
          </w:rPr>
          <w:fldChar w:fldCharType="separate"/>
        </w:r>
        <w:r w:rsidR="00CD0C7E" w:rsidRPr="00CD0C7E">
          <w:rPr>
            <w:rFonts w:ascii="Gothic720 BT" w:hAnsi="Gothic720 BT"/>
            <w:noProof/>
            <w:sz w:val="18"/>
            <w:szCs w:val="18"/>
            <w:lang w:val="es-ES"/>
          </w:rPr>
          <w:t>3</w:t>
        </w:r>
        <w:r w:rsidRPr="00C41F20">
          <w:rPr>
            <w:rFonts w:ascii="Gothic720 BT" w:hAnsi="Gothic720 BT"/>
            <w:sz w:val="18"/>
            <w:szCs w:val="18"/>
          </w:rPr>
          <w:fldChar w:fldCharType="end"/>
        </w:r>
      </w:p>
    </w:sdtContent>
  </w:sdt>
  <w:p w:rsidR="00C41F20" w:rsidRPr="00C41F20" w:rsidRDefault="005C1A61">
    <w:pPr>
      <w:pStyle w:val="Piedepgina"/>
      <w:rPr>
        <w:rFonts w:ascii="Gothic720 BT" w:hAnsi="Gothic720 BT"/>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A61" w:rsidRDefault="005C1A61" w:rsidP="00B13E86">
      <w:pPr>
        <w:spacing w:after="0" w:line="240" w:lineRule="auto"/>
      </w:pPr>
      <w:r>
        <w:separator/>
      </w:r>
    </w:p>
  </w:footnote>
  <w:footnote w:type="continuationSeparator" w:id="0">
    <w:p w:rsidR="005C1A61" w:rsidRDefault="005C1A61" w:rsidP="00B13E86">
      <w:pPr>
        <w:spacing w:after="0" w:line="240" w:lineRule="auto"/>
      </w:pPr>
      <w:r>
        <w:continuationSeparator/>
      </w:r>
    </w:p>
  </w:footnote>
  <w:footnote w:id="1">
    <w:p w:rsidR="00B13E86" w:rsidRPr="00554A1B" w:rsidRDefault="00B13E86" w:rsidP="00B13E86">
      <w:pPr>
        <w:pStyle w:val="Textonotapie"/>
        <w:ind w:firstLine="1134"/>
        <w:jc w:val="both"/>
        <w:rPr>
          <w:rFonts w:ascii="Gothic720 BT" w:hAnsi="Gothic720 BT"/>
          <w:sz w:val="16"/>
          <w:szCs w:val="16"/>
        </w:rPr>
      </w:pPr>
      <w:r w:rsidRPr="00554A1B">
        <w:rPr>
          <w:rStyle w:val="Refdenotaalpie"/>
          <w:rFonts w:ascii="Gothic720 BT" w:hAnsi="Gothic720 BT"/>
          <w:sz w:val="16"/>
          <w:szCs w:val="16"/>
        </w:rPr>
        <w:footnoteRef/>
      </w:r>
      <w:r w:rsidRPr="00554A1B">
        <w:rPr>
          <w:rFonts w:ascii="Gothic720 BT" w:hAnsi="Gothic720 BT"/>
          <w:sz w:val="16"/>
          <w:szCs w:val="16"/>
        </w:rPr>
        <w:t xml:space="preserve"> Las fechas que se señalan a continuación corresponden al año dos mil veintiuno, salvo mención expresa. </w:t>
      </w:r>
    </w:p>
  </w:footnote>
  <w:footnote w:id="2">
    <w:p w:rsidR="00B13E86" w:rsidRPr="00554A1B" w:rsidRDefault="00B13E86" w:rsidP="00B13E86">
      <w:pPr>
        <w:pStyle w:val="Textonotapie"/>
        <w:ind w:firstLine="1134"/>
        <w:jc w:val="both"/>
        <w:rPr>
          <w:rFonts w:ascii="Gothic720 BT" w:hAnsi="Gothic720 BT"/>
          <w:sz w:val="16"/>
          <w:szCs w:val="16"/>
        </w:rPr>
      </w:pPr>
      <w:r w:rsidRPr="00554A1B">
        <w:rPr>
          <w:rStyle w:val="Refdenotaalpie"/>
          <w:rFonts w:ascii="Gothic720 BT" w:hAnsi="Gothic720 BT"/>
          <w:sz w:val="16"/>
          <w:szCs w:val="16"/>
        </w:rPr>
        <w:footnoteRef/>
      </w:r>
      <w:r w:rsidRPr="00554A1B">
        <w:rPr>
          <w:rFonts w:ascii="Gothic720 BT" w:hAnsi="Gothic720 BT"/>
          <w:sz w:val="16"/>
          <w:szCs w:val="16"/>
        </w:rPr>
        <w:t xml:space="preserve"> En adelante Ley Electoral. </w:t>
      </w:r>
    </w:p>
  </w:footnote>
  <w:footnote w:id="3">
    <w:p w:rsidR="00B13E86" w:rsidRPr="008B5180" w:rsidRDefault="00B13E86" w:rsidP="00B13E86">
      <w:pPr>
        <w:pStyle w:val="Textonotapie"/>
        <w:ind w:firstLine="1134"/>
        <w:jc w:val="both"/>
        <w:rPr>
          <w:rFonts w:ascii="Gothic720 BT" w:hAnsi="Gothic720 BT"/>
          <w:sz w:val="16"/>
          <w:szCs w:val="16"/>
        </w:rPr>
      </w:pPr>
      <w:r w:rsidRPr="00554A1B">
        <w:rPr>
          <w:rStyle w:val="Refdenotaalpie"/>
          <w:rFonts w:ascii="Gothic720 BT" w:hAnsi="Gothic720 BT"/>
          <w:sz w:val="16"/>
          <w:szCs w:val="16"/>
        </w:rPr>
        <w:footnoteRef/>
      </w:r>
      <w:r w:rsidRPr="00554A1B">
        <w:rPr>
          <w:rFonts w:ascii="Gothic720 BT" w:hAnsi="Gothic720 BT"/>
          <w:sz w:val="16"/>
          <w:szCs w:val="16"/>
        </w:rPr>
        <w:t xml:space="preserve"> En adelante Dirección Ejecutiva.</w:t>
      </w:r>
      <w:r w:rsidRPr="008B5180">
        <w:rPr>
          <w:rFonts w:ascii="Gothic720 BT" w:hAnsi="Gothic720 BT"/>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172C2"/>
    <w:multiLevelType w:val="hybridMultilevel"/>
    <w:tmpl w:val="BC8CB7A4"/>
    <w:lvl w:ilvl="0" w:tplc="8C8C4E4A">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
    <w:nsid w:val="19B86AB1"/>
    <w:multiLevelType w:val="hybridMultilevel"/>
    <w:tmpl w:val="A76C7C5E"/>
    <w:lvl w:ilvl="0" w:tplc="73260CC8">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nsid w:val="32662A34"/>
    <w:multiLevelType w:val="hybridMultilevel"/>
    <w:tmpl w:val="FDF663E2"/>
    <w:lvl w:ilvl="0" w:tplc="A8D6A8F2">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
    <w:nsid w:val="45173658"/>
    <w:multiLevelType w:val="hybridMultilevel"/>
    <w:tmpl w:val="2F44C016"/>
    <w:lvl w:ilvl="0" w:tplc="D8DAC168">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
    <w:nsid w:val="59600149"/>
    <w:multiLevelType w:val="hybridMultilevel"/>
    <w:tmpl w:val="4A2A8F98"/>
    <w:lvl w:ilvl="0" w:tplc="3E70DBBC">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
    <w:nsid w:val="617F2120"/>
    <w:multiLevelType w:val="hybridMultilevel"/>
    <w:tmpl w:val="48509568"/>
    <w:lvl w:ilvl="0" w:tplc="41302F9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E86"/>
    <w:rsid w:val="000C40D3"/>
    <w:rsid w:val="000C5B84"/>
    <w:rsid w:val="000F3C0E"/>
    <w:rsid w:val="00126322"/>
    <w:rsid w:val="00147222"/>
    <w:rsid w:val="0016673F"/>
    <w:rsid w:val="001722DF"/>
    <w:rsid w:val="001833D9"/>
    <w:rsid w:val="001A5841"/>
    <w:rsid w:val="001B3C90"/>
    <w:rsid w:val="001E5474"/>
    <w:rsid w:val="001F726D"/>
    <w:rsid w:val="00242346"/>
    <w:rsid w:val="002C78FE"/>
    <w:rsid w:val="002F3614"/>
    <w:rsid w:val="002F47D9"/>
    <w:rsid w:val="002F63A0"/>
    <w:rsid w:val="00326BA3"/>
    <w:rsid w:val="00341692"/>
    <w:rsid w:val="003428E2"/>
    <w:rsid w:val="003438AC"/>
    <w:rsid w:val="003D36F8"/>
    <w:rsid w:val="003D5F62"/>
    <w:rsid w:val="004206E7"/>
    <w:rsid w:val="00421F0A"/>
    <w:rsid w:val="00483DD6"/>
    <w:rsid w:val="00495BE0"/>
    <w:rsid w:val="004A29B6"/>
    <w:rsid w:val="005156B9"/>
    <w:rsid w:val="005601FB"/>
    <w:rsid w:val="00574B54"/>
    <w:rsid w:val="005C1A61"/>
    <w:rsid w:val="005F2B4C"/>
    <w:rsid w:val="00600740"/>
    <w:rsid w:val="00604C42"/>
    <w:rsid w:val="006709E0"/>
    <w:rsid w:val="006B5C28"/>
    <w:rsid w:val="006C3EE4"/>
    <w:rsid w:val="006E219E"/>
    <w:rsid w:val="006E426A"/>
    <w:rsid w:val="007A2454"/>
    <w:rsid w:val="007B2EB6"/>
    <w:rsid w:val="007D1B5C"/>
    <w:rsid w:val="007D3728"/>
    <w:rsid w:val="007E213C"/>
    <w:rsid w:val="007E370A"/>
    <w:rsid w:val="008427CA"/>
    <w:rsid w:val="00843E5A"/>
    <w:rsid w:val="008578C2"/>
    <w:rsid w:val="00877102"/>
    <w:rsid w:val="008C49F6"/>
    <w:rsid w:val="008F04FD"/>
    <w:rsid w:val="00907474"/>
    <w:rsid w:val="00933E2A"/>
    <w:rsid w:val="00955A8B"/>
    <w:rsid w:val="00960F5B"/>
    <w:rsid w:val="00962599"/>
    <w:rsid w:val="009D1AC0"/>
    <w:rsid w:val="009F2E14"/>
    <w:rsid w:val="00AD7AFF"/>
    <w:rsid w:val="00AF7F1C"/>
    <w:rsid w:val="00B13E86"/>
    <w:rsid w:val="00B1451A"/>
    <w:rsid w:val="00B65D0C"/>
    <w:rsid w:val="00B86252"/>
    <w:rsid w:val="00B9746D"/>
    <w:rsid w:val="00BB59FB"/>
    <w:rsid w:val="00C3794C"/>
    <w:rsid w:val="00C41F1E"/>
    <w:rsid w:val="00C94B29"/>
    <w:rsid w:val="00CA34AF"/>
    <w:rsid w:val="00CB14E9"/>
    <w:rsid w:val="00CB2199"/>
    <w:rsid w:val="00CD0C7E"/>
    <w:rsid w:val="00CE0E50"/>
    <w:rsid w:val="00CF01A7"/>
    <w:rsid w:val="00CF2940"/>
    <w:rsid w:val="00D14106"/>
    <w:rsid w:val="00D33823"/>
    <w:rsid w:val="00DC5AEB"/>
    <w:rsid w:val="00DC5BCA"/>
    <w:rsid w:val="00DE57CE"/>
    <w:rsid w:val="00E14EC5"/>
    <w:rsid w:val="00E52058"/>
    <w:rsid w:val="00E56CEC"/>
    <w:rsid w:val="00E8338B"/>
    <w:rsid w:val="00EA6DEB"/>
    <w:rsid w:val="00EB321F"/>
    <w:rsid w:val="00FA1F32"/>
    <w:rsid w:val="00FA6B67"/>
    <w:rsid w:val="00FE32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E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13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Car10,Car1 Car Car,Texto nota pie1,Car1 Car Car1 Car Car Car,Car10 Car,Car1 Car Car1 Car Car Car Car Car Car,Car1 Car Car1 Car Car Car Car Car,Car10 Car Car,Car1,Footnote Text Char Char Char Char Char,Footnote Text Char Char Char Char,FA"/>
    <w:basedOn w:val="Normal"/>
    <w:link w:val="TextonotapieCar"/>
    <w:uiPriority w:val="99"/>
    <w:unhideWhenUsed/>
    <w:qFormat/>
    <w:rsid w:val="00B13E86"/>
    <w:pPr>
      <w:spacing w:after="0" w:line="240" w:lineRule="auto"/>
    </w:pPr>
    <w:rPr>
      <w:sz w:val="20"/>
      <w:szCs w:val="20"/>
    </w:rPr>
  </w:style>
  <w:style w:type="character" w:customStyle="1" w:styleId="TextonotapieCar">
    <w:name w:val="Texto nota pie Car"/>
    <w:aliases w:val="Car10 Car1,Car1 Car Car Car,Texto nota pie1 Car,Car1 Car Car1 Car Car Car Car,Car10 Car Car1,Car1 Car Car1 Car Car Car Car Car Car Car,Car1 Car Car1 Car Car Car Car Car Car1,Car10 Car Car Car,Car1 Car,FA Car"/>
    <w:basedOn w:val="Fuentedeprrafopredeter"/>
    <w:link w:val="Textonotapie"/>
    <w:uiPriority w:val="99"/>
    <w:qFormat/>
    <w:rsid w:val="00B13E86"/>
    <w:rPr>
      <w:sz w:val="20"/>
      <w:szCs w:val="20"/>
    </w:rPr>
  </w:style>
  <w:style w:type="character" w:styleId="Refdenotaalpie">
    <w:name w:val="footnote reference"/>
    <w:aliases w:val="Texto de nota al pie,Footnotes refss,Appel note de bas de page,Footnote number,referencia nota al pie,BVI fnr,4_G,16 Point,Superscript 6 Point,Texto nota al pie,Footnote Reference Char3,Footnote Reference Char1 Char,Ref. de nota al,f"/>
    <w:basedOn w:val="Fuentedeprrafopredeter"/>
    <w:link w:val="4GChar"/>
    <w:uiPriority w:val="99"/>
    <w:unhideWhenUsed/>
    <w:qFormat/>
    <w:rsid w:val="00B13E86"/>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B13E86"/>
    <w:pPr>
      <w:spacing w:after="160" w:line="259" w:lineRule="auto"/>
      <w:jc w:val="both"/>
    </w:pPr>
    <w:rPr>
      <w:vertAlign w:val="superscript"/>
    </w:rPr>
  </w:style>
  <w:style w:type="paragraph" w:styleId="Prrafodelista">
    <w:name w:val="List Paragraph"/>
    <w:aliases w:val="CNBV Parrafo1,Párrafo de lista1"/>
    <w:basedOn w:val="Normal"/>
    <w:link w:val="PrrafodelistaCar"/>
    <w:uiPriority w:val="34"/>
    <w:qFormat/>
    <w:rsid w:val="00B13E86"/>
    <w:pPr>
      <w:ind w:left="720"/>
      <w:contextualSpacing/>
    </w:pPr>
  </w:style>
  <w:style w:type="character" w:customStyle="1" w:styleId="PrrafodelistaCar">
    <w:name w:val="Párrafo de lista Car"/>
    <w:aliases w:val="CNBV Parrafo1 Car,Párrafo de lista1 Car"/>
    <w:link w:val="Prrafodelista"/>
    <w:uiPriority w:val="34"/>
    <w:qFormat/>
    <w:locked/>
    <w:rsid w:val="00B13E86"/>
  </w:style>
  <w:style w:type="character" w:styleId="Hipervnculo">
    <w:name w:val="Hyperlink"/>
    <w:basedOn w:val="Fuentedeprrafopredeter"/>
    <w:uiPriority w:val="99"/>
    <w:unhideWhenUsed/>
    <w:rsid w:val="00B13E86"/>
    <w:rPr>
      <w:color w:val="0000FF" w:themeColor="hyperlink"/>
      <w:u w:val="single"/>
    </w:rPr>
  </w:style>
  <w:style w:type="paragraph" w:customStyle="1" w:styleId="Default">
    <w:name w:val="Default"/>
    <w:rsid w:val="00B13E86"/>
    <w:pPr>
      <w:autoSpaceDE w:val="0"/>
      <w:autoSpaceDN w:val="0"/>
      <w:adjustRightInd w:val="0"/>
      <w:spacing w:after="0" w:line="240" w:lineRule="auto"/>
    </w:pPr>
    <w:rPr>
      <w:rFonts w:ascii="Times New Roman" w:eastAsia="Calibri" w:hAnsi="Times New Roman" w:cs="Times New Roman"/>
      <w:color w:val="000000"/>
      <w:sz w:val="24"/>
      <w:szCs w:val="24"/>
      <w:lang w:val="es-ES"/>
    </w:rPr>
  </w:style>
  <w:style w:type="paragraph" w:styleId="Piedepgina">
    <w:name w:val="footer"/>
    <w:basedOn w:val="Normal"/>
    <w:link w:val="PiedepginaCar"/>
    <w:uiPriority w:val="99"/>
    <w:unhideWhenUsed/>
    <w:rsid w:val="00B13E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3E86"/>
  </w:style>
  <w:style w:type="paragraph" w:styleId="Textodeglobo">
    <w:name w:val="Balloon Text"/>
    <w:basedOn w:val="Normal"/>
    <w:link w:val="TextodegloboCar"/>
    <w:uiPriority w:val="99"/>
    <w:semiHidden/>
    <w:unhideWhenUsed/>
    <w:rsid w:val="001722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722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E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13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Car10,Car1 Car Car,Texto nota pie1,Car1 Car Car1 Car Car Car,Car10 Car,Car1 Car Car1 Car Car Car Car Car Car,Car1 Car Car1 Car Car Car Car Car,Car10 Car Car,Car1,Footnote Text Char Char Char Char Char,Footnote Text Char Char Char Char,FA"/>
    <w:basedOn w:val="Normal"/>
    <w:link w:val="TextonotapieCar"/>
    <w:uiPriority w:val="99"/>
    <w:unhideWhenUsed/>
    <w:qFormat/>
    <w:rsid w:val="00B13E86"/>
    <w:pPr>
      <w:spacing w:after="0" w:line="240" w:lineRule="auto"/>
    </w:pPr>
    <w:rPr>
      <w:sz w:val="20"/>
      <w:szCs w:val="20"/>
    </w:rPr>
  </w:style>
  <w:style w:type="character" w:customStyle="1" w:styleId="TextonotapieCar">
    <w:name w:val="Texto nota pie Car"/>
    <w:aliases w:val="Car10 Car1,Car1 Car Car Car,Texto nota pie1 Car,Car1 Car Car1 Car Car Car Car,Car10 Car Car1,Car1 Car Car1 Car Car Car Car Car Car Car,Car1 Car Car1 Car Car Car Car Car Car1,Car10 Car Car Car,Car1 Car,FA Car"/>
    <w:basedOn w:val="Fuentedeprrafopredeter"/>
    <w:link w:val="Textonotapie"/>
    <w:uiPriority w:val="99"/>
    <w:qFormat/>
    <w:rsid w:val="00B13E86"/>
    <w:rPr>
      <w:sz w:val="20"/>
      <w:szCs w:val="20"/>
    </w:rPr>
  </w:style>
  <w:style w:type="character" w:styleId="Refdenotaalpie">
    <w:name w:val="footnote reference"/>
    <w:aliases w:val="Texto de nota al pie,Footnotes refss,Appel note de bas de page,Footnote number,referencia nota al pie,BVI fnr,4_G,16 Point,Superscript 6 Point,Texto nota al pie,Footnote Reference Char3,Footnote Reference Char1 Char,Ref. de nota al,f"/>
    <w:basedOn w:val="Fuentedeprrafopredeter"/>
    <w:link w:val="4GChar"/>
    <w:uiPriority w:val="99"/>
    <w:unhideWhenUsed/>
    <w:qFormat/>
    <w:rsid w:val="00B13E86"/>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B13E86"/>
    <w:pPr>
      <w:spacing w:after="160" w:line="259" w:lineRule="auto"/>
      <w:jc w:val="both"/>
    </w:pPr>
    <w:rPr>
      <w:vertAlign w:val="superscript"/>
    </w:rPr>
  </w:style>
  <w:style w:type="paragraph" w:styleId="Prrafodelista">
    <w:name w:val="List Paragraph"/>
    <w:aliases w:val="CNBV Parrafo1,Párrafo de lista1"/>
    <w:basedOn w:val="Normal"/>
    <w:link w:val="PrrafodelistaCar"/>
    <w:uiPriority w:val="34"/>
    <w:qFormat/>
    <w:rsid w:val="00B13E86"/>
    <w:pPr>
      <w:ind w:left="720"/>
      <w:contextualSpacing/>
    </w:pPr>
  </w:style>
  <w:style w:type="character" w:customStyle="1" w:styleId="PrrafodelistaCar">
    <w:name w:val="Párrafo de lista Car"/>
    <w:aliases w:val="CNBV Parrafo1 Car,Párrafo de lista1 Car"/>
    <w:link w:val="Prrafodelista"/>
    <w:uiPriority w:val="34"/>
    <w:qFormat/>
    <w:locked/>
    <w:rsid w:val="00B13E86"/>
  </w:style>
  <w:style w:type="character" w:styleId="Hipervnculo">
    <w:name w:val="Hyperlink"/>
    <w:basedOn w:val="Fuentedeprrafopredeter"/>
    <w:uiPriority w:val="99"/>
    <w:unhideWhenUsed/>
    <w:rsid w:val="00B13E86"/>
    <w:rPr>
      <w:color w:val="0000FF" w:themeColor="hyperlink"/>
      <w:u w:val="single"/>
    </w:rPr>
  </w:style>
  <w:style w:type="paragraph" w:customStyle="1" w:styleId="Default">
    <w:name w:val="Default"/>
    <w:rsid w:val="00B13E86"/>
    <w:pPr>
      <w:autoSpaceDE w:val="0"/>
      <w:autoSpaceDN w:val="0"/>
      <w:adjustRightInd w:val="0"/>
      <w:spacing w:after="0" w:line="240" w:lineRule="auto"/>
    </w:pPr>
    <w:rPr>
      <w:rFonts w:ascii="Times New Roman" w:eastAsia="Calibri" w:hAnsi="Times New Roman" w:cs="Times New Roman"/>
      <w:color w:val="000000"/>
      <w:sz w:val="24"/>
      <w:szCs w:val="24"/>
      <w:lang w:val="es-ES"/>
    </w:rPr>
  </w:style>
  <w:style w:type="paragraph" w:styleId="Piedepgina">
    <w:name w:val="footer"/>
    <w:basedOn w:val="Normal"/>
    <w:link w:val="PiedepginaCar"/>
    <w:uiPriority w:val="99"/>
    <w:unhideWhenUsed/>
    <w:rsid w:val="00B13E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3E86"/>
  </w:style>
  <w:style w:type="paragraph" w:styleId="Textodeglobo">
    <w:name w:val="Balloon Text"/>
    <w:basedOn w:val="Normal"/>
    <w:link w:val="TextodegloboCar"/>
    <w:uiPriority w:val="99"/>
    <w:semiHidden/>
    <w:unhideWhenUsed/>
    <w:rsid w:val="001722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722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35CA9-3E64-4815-9306-434E0CAFC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495</Words>
  <Characters>2723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Mateo.Salazar</dc:creator>
  <cp:lastModifiedBy>DEAJ_ServSocial</cp:lastModifiedBy>
  <cp:revision>11</cp:revision>
  <cp:lastPrinted>2021-02-10T19:18:00Z</cp:lastPrinted>
  <dcterms:created xsi:type="dcterms:W3CDTF">2021-02-19T16:30:00Z</dcterms:created>
  <dcterms:modified xsi:type="dcterms:W3CDTF">2021-02-19T21:07:00Z</dcterms:modified>
</cp:coreProperties>
</file>