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righ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tblGrid>
      <w:tr w:rsidR="007F6569" w:rsidRPr="00DE2C21" w:rsidTr="007F6569">
        <w:trPr>
          <w:jc w:val="right"/>
        </w:trPr>
        <w:tc>
          <w:tcPr>
            <w:tcW w:w="5260" w:type="dxa"/>
          </w:tcPr>
          <w:p w:rsidR="007F6569" w:rsidRPr="00DE2C21" w:rsidRDefault="007F6569" w:rsidP="00C21647">
            <w:pPr>
              <w:tabs>
                <w:tab w:val="left" w:pos="5387"/>
              </w:tabs>
              <w:spacing w:after="0" w:line="276" w:lineRule="auto"/>
              <w:jc w:val="both"/>
              <w:rPr>
                <w:b/>
                <w:sz w:val="23"/>
                <w:szCs w:val="23"/>
              </w:rPr>
            </w:pPr>
            <w:r w:rsidRPr="00DE2C21">
              <w:rPr>
                <w:b/>
                <w:sz w:val="23"/>
                <w:szCs w:val="23"/>
              </w:rPr>
              <w:t>PROCEDIMIENTO ESPECIAL SANCIONADOR</w:t>
            </w:r>
          </w:p>
          <w:p w:rsidR="007F6569" w:rsidRPr="00DE2C21" w:rsidRDefault="007F6569" w:rsidP="00C21647">
            <w:pPr>
              <w:tabs>
                <w:tab w:val="left" w:pos="5387"/>
              </w:tabs>
              <w:spacing w:after="0" w:line="276" w:lineRule="auto"/>
              <w:jc w:val="both"/>
              <w:rPr>
                <w:b/>
                <w:sz w:val="23"/>
                <w:szCs w:val="23"/>
              </w:rPr>
            </w:pPr>
          </w:p>
          <w:p w:rsidR="007F6569" w:rsidRPr="00DE2C21" w:rsidRDefault="007F6569" w:rsidP="00C21647">
            <w:pPr>
              <w:tabs>
                <w:tab w:val="left" w:pos="5387"/>
              </w:tabs>
              <w:spacing w:after="0" w:line="276" w:lineRule="auto"/>
              <w:jc w:val="both"/>
              <w:rPr>
                <w:rFonts w:cs="Arial"/>
                <w:sz w:val="23"/>
                <w:szCs w:val="23"/>
                <w:lang w:eastAsia="es-ES"/>
              </w:rPr>
            </w:pPr>
            <w:r w:rsidRPr="00DE2C21">
              <w:rPr>
                <w:b/>
                <w:sz w:val="23"/>
                <w:szCs w:val="23"/>
              </w:rPr>
              <w:t>EXPEDIENTE:</w:t>
            </w:r>
            <w:r w:rsidRPr="00DE2C21">
              <w:rPr>
                <w:sz w:val="23"/>
                <w:szCs w:val="23"/>
              </w:rPr>
              <w:t xml:space="preserve"> </w:t>
            </w:r>
            <w:r w:rsidRPr="00DE2C21">
              <w:rPr>
                <w:rFonts w:cs="Arial"/>
                <w:sz w:val="23"/>
                <w:szCs w:val="23"/>
                <w:lang w:eastAsia="es-ES"/>
              </w:rPr>
              <w:t>IEEQ/PES/013/2020-P.</w:t>
            </w:r>
          </w:p>
          <w:p w:rsidR="007F6569" w:rsidRPr="00DE2C21" w:rsidRDefault="007F6569" w:rsidP="00C21647">
            <w:pPr>
              <w:spacing w:after="0"/>
              <w:jc w:val="both"/>
              <w:rPr>
                <w:rFonts w:cs="Arial"/>
                <w:b/>
                <w:sz w:val="23"/>
                <w:szCs w:val="23"/>
                <w:lang w:eastAsia="es-ES"/>
              </w:rPr>
            </w:pPr>
          </w:p>
          <w:p w:rsidR="007F6569" w:rsidRPr="00DE2C21" w:rsidRDefault="007F6569" w:rsidP="00C21647">
            <w:pPr>
              <w:tabs>
                <w:tab w:val="left" w:pos="5387"/>
              </w:tabs>
              <w:spacing w:after="0" w:line="276" w:lineRule="auto"/>
              <w:jc w:val="both"/>
              <w:rPr>
                <w:sz w:val="23"/>
                <w:szCs w:val="23"/>
              </w:rPr>
            </w:pPr>
            <w:r w:rsidRPr="00DE2C21">
              <w:rPr>
                <w:b/>
                <w:sz w:val="23"/>
                <w:szCs w:val="23"/>
              </w:rPr>
              <w:t>DENUNCIANTE</w:t>
            </w:r>
            <w:r w:rsidRPr="00DE2C21">
              <w:rPr>
                <w:rFonts w:cs="Arial"/>
                <w:b/>
                <w:sz w:val="23"/>
                <w:szCs w:val="23"/>
                <w:lang w:eastAsia="es-ES"/>
              </w:rPr>
              <w:t xml:space="preserve">: </w:t>
            </w:r>
            <w:r w:rsidRPr="00DE2C21">
              <w:rPr>
                <w:sz w:val="23"/>
                <w:szCs w:val="23"/>
              </w:rPr>
              <w:t>PEDRO MISAEL FLORES LARA, POR PROPIO DERECHO.</w:t>
            </w:r>
          </w:p>
          <w:p w:rsidR="007F6569" w:rsidRPr="00DE2C21" w:rsidRDefault="007F6569" w:rsidP="00C21647">
            <w:pPr>
              <w:spacing w:after="0"/>
              <w:jc w:val="both"/>
              <w:rPr>
                <w:sz w:val="23"/>
                <w:szCs w:val="23"/>
              </w:rPr>
            </w:pPr>
          </w:p>
          <w:p w:rsidR="007F6569" w:rsidRPr="00DE2C21" w:rsidRDefault="007F6569" w:rsidP="00C21647">
            <w:pPr>
              <w:tabs>
                <w:tab w:val="left" w:pos="5387"/>
              </w:tabs>
              <w:spacing w:after="0" w:line="276" w:lineRule="auto"/>
              <w:jc w:val="both"/>
              <w:rPr>
                <w:rFonts w:cs="Arial"/>
                <w:sz w:val="23"/>
                <w:szCs w:val="23"/>
                <w:lang w:eastAsia="es-ES"/>
              </w:rPr>
            </w:pPr>
            <w:r w:rsidRPr="00DE2C21">
              <w:rPr>
                <w:b/>
                <w:sz w:val="23"/>
                <w:szCs w:val="23"/>
              </w:rPr>
              <w:t xml:space="preserve">DENUNCIADOS: </w:t>
            </w:r>
            <w:r w:rsidRPr="00DE2C21">
              <w:rPr>
                <w:rFonts w:cs="Arial"/>
                <w:sz w:val="23"/>
                <w:szCs w:val="23"/>
                <w:lang w:eastAsia="es-ES"/>
              </w:rPr>
              <w:t>JUAN JOSÉ JIMÉNEZ YÁÑEZ, SENADOR DE LA REPÚBLICA, Y PARTIDO POLÍTICO MORENA</w:t>
            </w:r>
            <w:r w:rsidRPr="00DE2C21">
              <w:rPr>
                <w:sz w:val="23"/>
                <w:szCs w:val="23"/>
              </w:rPr>
              <w:t>.</w:t>
            </w:r>
          </w:p>
          <w:p w:rsidR="007F6569" w:rsidRPr="00DE2C21" w:rsidRDefault="007F6569" w:rsidP="00C21647">
            <w:pPr>
              <w:spacing w:after="0" w:line="276" w:lineRule="auto"/>
              <w:jc w:val="both"/>
              <w:rPr>
                <w:b/>
                <w:sz w:val="23"/>
                <w:szCs w:val="23"/>
              </w:rPr>
            </w:pPr>
          </w:p>
          <w:p w:rsidR="007F6569" w:rsidRPr="00DE2C21" w:rsidRDefault="007F6569" w:rsidP="007F6569">
            <w:pPr>
              <w:spacing w:after="0" w:line="276" w:lineRule="auto"/>
              <w:jc w:val="both"/>
              <w:rPr>
                <w:sz w:val="23"/>
                <w:szCs w:val="23"/>
              </w:rPr>
            </w:pPr>
            <w:r w:rsidRPr="00DE2C21">
              <w:rPr>
                <w:b/>
                <w:sz w:val="23"/>
                <w:szCs w:val="23"/>
              </w:rPr>
              <w:t>ASUNTO:</w:t>
            </w:r>
            <w:r w:rsidRPr="00DE2C21">
              <w:rPr>
                <w:sz w:val="23"/>
                <w:szCs w:val="23"/>
              </w:rPr>
              <w:t xml:space="preserve"> </w:t>
            </w:r>
            <w:r w:rsidR="00620397">
              <w:rPr>
                <w:sz w:val="23"/>
                <w:szCs w:val="23"/>
              </w:rPr>
              <w:t xml:space="preserve">CONSTANCIA Y </w:t>
            </w:r>
            <w:r w:rsidRPr="00DE2C21">
              <w:rPr>
                <w:sz w:val="23"/>
                <w:szCs w:val="23"/>
              </w:rPr>
              <w:t>REMISIÓN.</w:t>
            </w:r>
          </w:p>
        </w:tc>
      </w:tr>
    </w:tbl>
    <w:p w:rsidR="00E9419F" w:rsidRPr="00DE2C21" w:rsidRDefault="00E9419F" w:rsidP="00E9419F">
      <w:pPr>
        <w:spacing w:after="0" w:line="276" w:lineRule="auto"/>
        <w:ind w:left="709"/>
        <w:jc w:val="both"/>
        <w:rPr>
          <w:sz w:val="23"/>
          <w:szCs w:val="23"/>
        </w:rPr>
      </w:pPr>
    </w:p>
    <w:p w:rsidR="00E9419F" w:rsidRPr="00DE2C21" w:rsidRDefault="00E9419F" w:rsidP="00E9419F">
      <w:pPr>
        <w:spacing w:after="0" w:line="276" w:lineRule="auto"/>
        <w:ind w:left="709"/>
        <w:jc w:val="both"/>
        <w:rPr>
          <w:sz w:val="23"/>
          <w:szCs w:val="23"/>
        </w:rPr>
      </w:pPr>
      <w:r w:rsidRPr="00DE2C21">
        <w:rPr>
          <w:sz w:val="23"/>
          <w:szCs w:val="23"/>
        </w:rPr>
        <w:t xml:space="preserve">Santiago de Querétaro, Querétaro, </w:t>
      </w:r>
      <w:r w:rsidR="007F6569" w:rsidRPr="00DE2C21">
        <w:rPr>
          <w:sz w:val="23"/>
          <w:szCs w:val="23"/>
        </w:rPr>
        <w:t xml:space="preserve">once </w:t>
      </w:r>
      <w:r w:rsidRPr="00DE2C21">
        <w:rPr>
          <w:sz w:val="23"/>
          <w:szCs w:val="23"/>
        </w:rPr>
        <w:t xml:space="preserve">de </w:t>
      </w:r>
      <w:r w:rsidR="001D1CF0">
        <w:rPr>
          <w:sz w:val="23"/>
          <w:szCs w:val="23"/>
        </w:rPr>
        <w:t>enero</w:t>
      </w:r>
      <w:bookmarkStart w:id="0" w:name="_GoBack"/>
      <w:bookmarkEnd w:id="0"/>
      <w:r w:rsidR="007F6569" w:rsidRPr="00DE2C21">
        <w:rPr>
          <w:sz w:val="23"/>
          <w:szCs w:val="23"/>
        </w:rPr>
        <w:t xml:space="preserve"> de dos mil veintiuno</w:t>
      </w:r>
      <w:r w:rsidRPr="00DE2C21">
        <w:rPr>
          <w:sz w:val="23"/>
          <w:szCs w:val="23"/>
        </w:rPr>
        <w:t>.</w:t>
      </w:r>
      <w:r w:rsidRPr="00DE2C21">
        <w:rPr>
          <w:rStyle w:val="Refdenotaalpie"/>
          <w:sz w:val="23"/>
          <w:szCs w:val="23"/>
        </w:rPr>
        <w:footnoteReference w:id="1"/>
      </w:r>
    </w:p>
    <w:p w:rsidR="00E9419F" w:rsidRPr="00DE2C21" w:rsidRDefault="00E9419F" w:rsidP="00E9419F">
      <w:pPr>
        <w:spacing w:after="0" w:line="276" w:lineRule="auto"/>
        <w:ind w:left="709"/>
        <w:jc w:val="both"/>
        <w:rPr>
          <w:b/>
          <w:sz w:val="23"/>
          <w:szCs w:val="23"/>
        </w:rPr>
      </w:pPr>
    </w:p>
    <w:p w:rsidR="00E9419F" w:rsidRPr="00DE2C21" w:rsidRDefault="00551AAE" w:rsidP="00551AAE">
      <w:pPr>
        <w:spacing w:after="0" w:line="276" w:lineRule="auto"/>
        <w:ind w:left="709"/>
        <w:jc w:val="both"/>
        <w:rPr>
          <w:b/>
          <w:sz w:val="23"/>
          <w:szCs w:val="23"/>
        </w:rPr>
      </w:pPr>
      <w:r w:rsidRPr="00DE2C21">
        <w:rPr>
          <w:b/>
          <w:sz w:val="23"/>
          <w:szCs w:val="23"/>
        </w:rPr>
        <w:t>VISTO</w:t>
      </w:r>
      <w:r w:rsidR="00E9419F" w:rsidRPr="00DE2C21">
        <w:rPr>
          <w:b/>
          <w:sz w:val="23"/>
          <w:szCs w:val="23"/>
        </w:rPr>
        <w:t xml:space="preserve"> </w:t>
      </w:r>
      <w:r w:rsidRPr="00DE2C21">
        <w:rPr>
          <w:sz w:val="23"/>
          <w:szCs w:val="23"/>
        </w:rPr>
        <w:t xml:space="preserve">el </w:t>
      </w:r>
      <w:r w:rsidR="007F6569" w:rsidRPr="00DE2C21">
        <w:rPr>
          <w:sz w:val="23"/>
          <w:szCs w:val="23"/>
        </w:rPr>
        <w:t xml:space="preserve">estado procesal </w:t>
      </w:r>
      <w:r w:rsidR="00EE6318" w:rsidRPr="00DE2C21">
        <w:rPr>
          <w:sz w:val="23"/>
          <w:szCs w:val="23"/>
        </w:rPr>
        <w:t>del pr</w:t>
      </w:r>
      <w:r w:rsidR="00E95575" w:rsidRPr="00DE2C21">
        <w:rPr>
          <w:sz w:val="23"/>
          <w:szCs w:val="23"/>
        </w:rPr>
        <w:t>esente procedimiento</w:t>
      </w:r>
      <w:r w:rsidRPr="00DE2C21">
        <w:rPr>
          <w:rFonts w:cs="Arial"/>
          <w:sz w:val="23"/>
          <w:szCs w:val="23"/>
          <w:lang w:eastAsia="es-ES"/>
        </w:rPr>
        <w:t>; c</w:t>
      </w:r>
      <w:r w:rsidR="00E9419F" w:rsidRPr="00DE2C21">
        <w:rPr>
          <w:sz w:val="23"/>
          <w:szCs w:val="23"/>
        </w:rPr>
        <w:t>on fundamento en los artículos 77, fracción V de la Ley Electoral del Estado de Querétaro</w:t>
      </w:r>
      <w:r w:rsidR="00E9419F" w:rsidRPr="00DE2C21">
        <w:rPr>
          <w:rStyle w:val="Refdenotaalpie"/>
          <w:sz w:val="23"/>
          <w:szCs w:val="23"/>
        </w:rPr>
        <w:footnoteReference w:id="2"/>
      </w:r>
      <w:r w:rsidR="003D0648" w:rsidRPr="00DE2C21">
        <w:rPr>
          <w:sz w:val="23"/>
          <w:szCs w:val="23"/>
        </w:rPr>
        <w:t>,</w:t>
      </w:r>
      <w:r w:rsidR="00E9419F" w:rsidRPr="00DE2C21">
        <w:rPr>
          <w:sz w:val="23"/>
          <w:szCs w:val="23"/>
        </w:rPr>
        <w:t xml:space="preserve"> </w:t>
      </w:r>
      <w:r w:rsidR="00E9419F" w:rsidRPr="00DE2C21">
        <w:rPr>
          <w:rFonts w:cs="Arial"/>
          <w:sz w:val="23"/>
          <w:szCs w:val="23"/>
        </w:rPr>
        <w:t>así como 44, fracción II, inciso d) del Reglamento Interior del Instituto</w:t>
      </w:r>
      <w:r w:rsidR="00EE6318" w:rsidRPr="00DE2C21">
        <w:rPr>
          <w:rFonts w:cs="Arial"/>
          <w:sz w:val="23"/>
          <w:szCs w:val="23"/>
          <w:lang w:eastAsia="es-ES"/>
        </w:rPr>
        <w:t xml:space="preserve"> Electoral del Estado de Querétaro</w:t>
      </w:r>
      <w:r w:rsidR="00E9419F" w:rsidRPr="00DE2C21">
        <w:rPr>
          <w:sz w:val="23"/>
          <w:szCs w:val="23"/>
        </w:rPr>
        <w:t>; la Dirección Ejecutiva de Asuntos Jurídicos</w:t>
      </w:r>
      <w:r w:rsidR="0063112F" w:rsidRPr="00DE2C21">
        <w:rPr>
          <w:sz w:val="23"/>
          <w:szCs w:val="23"/>
        </w:rPr>
        <w:t xml:space="preserve"> </w:t>
      </w:r>
      <w:r w:rsidR="003D0648">
        <w:rPr>
          <w:b/>
          <w:sz w:val="23"/>
          <w:szCs w:val="23"/>
        </w:rPr>
        <w:t>ACUERDA:</w:t>
      </w:r>
    </w:p>
    <w:p w:rsidR="00E9419F" w:rsidRPr="00DE2C21" w:rsidRDefault="00E9419F" w:rsidP="00E9419F">
      <w:pPr>
        <w:tabs>
          <w:tab w:val="left" w:pos="2512"/>
        </w:tabs>
        <w:spacing w:after="0" w:line="276" w:lineRule="auto"/>
        <w:ind w:left="709"/>
        <w:jc w:val="both"/>
        <w:rPr>
          <w:b/>
          <w:sz w:val="23"/>
          <w:szCs w:val="23"/>
        </w:rPr>
      </w:pPr>
    </w:p>
    <w:p w:rsidR="007606B3" w:rsidRPr="00DE2C21" w:rsidRDefault="00E9419F" w:rsidP="0050357A">
      <w:pPr>
        <w:spacing w:after="0" w:line="276" w:lineRule="auto"/>
        <w:ind w:left="709"/>
        <w:jc w:val="both"/>
        <w:rPr>
          <w:sz w:val="23"/>
          <w:szCs w:val="23"/>
        </w:rPr>
      </w:pPr>
      <w:r w:rsidRPr="00DE2C21">
        <w:rPr>
          <w:b/>
          <w:sz w:val="23"/>
          <w:szCs w:val="23"/>
        </w:rPr>
        <w:t>PRIMERO.</w:t>
      </w:r>
      <w:r w:rsidRPr="00DE2C21">
        <w:rPr>
          <w:sz w:val="23"/>
          <w:szCs w:val="23"/>
        </w:rPr>
        <w:t xml:space="preserve"> </w:t>
      </w:r>
      <w:r w:rsidR="00EE6318" w:rsidRPr="00DE2C21">
        <w:rPr>
          <w:b/>
          <w:sz w:val="23"/>
          <w:szCs w:val="23"/>
        </w:rPr>
        <w:t>Constancia.</w:t>
      </w:r>
      <w:r w:rsidR="00EE6318" w:rsidRPr="00DE2C21">
        <w:rPr>
          <w:sz w:val="23"/>
          <w:szCs w:val="23"/>
        </w:rPr>
        <w:t xml:space="preserve"> Se hace constar que las partes del procedimiento citado al rubro no comparecieron a realizar manifestaciones, </w:t>
      </w:r>
      <w:r w:rsidR="007606B3" w:rsidRPr="00DE2C21">
        <w:rPr>
          <w:rFonts w:eastAsia="Times New Roman" w:cs="Times New Roman"/>
          <w:bCs/>
          <w:sz w:val="23"/>
          <w:szCs w:val="23"/>
          <w:lang w:val="es-ES" w:eastAsia="es-MX"/>
        </w:rPr>
        <w:t>no obstante de hab</w:t>
      </w:r>
      <w:r w:rsidR="00A00453" w:rsidRPr="00DE2C21">
        <w:rPr>
          <w:rFonts w:eastAsia="Times New Roman" w:cs="Times New Roman"/>
          <w:bCs/>
          <w:sz w:val="23"/>
          <w:szCs w:val="23"/>
          <w:lang w:val="es-ES" w:eastAsia="es-MX"/>
        </w:rPr>
        <w:t>er sido debidamente notificados el ocho de enero.</w:t>
      </w:r>
    </w:p>
    <w:p w:rsidR="00E9419F" w:rsidRPr="00DE2C21" w:rsidRDefault="00E9419F" w:rsidP="00E9419F">
      <w:pPr>
        <w:spacing w:after="0" w:line="276" w:lineRule="auto"/>
        <w:ind w:left="709"/>
        <w:jc w:val="both"/>
        <w:rPr>
          <w:rFonts w:cstheme="minorHAnsi"/>
          <w:b/>
          <w:sz w:val="23"/>
          <w:szCs w:val="23"/>
          <w:lang w:eastAsia="es-ES"/>
        </w:rPr>
      </w:pPr>
    </w:p>
    <w:p w:rsidR="004659E0" w:rsidRPr="00DE2C21" w:rsidRDefault="007D7132" w:rsidP="007F6569">
      <w:pPr>
        <w:spacing w:after="0" w:line="276" w:lineRule="auto"/>
        <w:ind w:left="709"/>
        <w:jc w:val="both"/>
        <w:rPr>
          <w:rFonts w:cstheme="minorHAnsi"/>
          <w:sz w:val="23"/>
          <w:szCs w:val="23"/>
          <w:lang w:eastAsia="es-ES"/>
        </w:rPr>
      </w:pPr>
      <w:r w:rsidRPr="00DE2C21">
        <w:rPr>
          <w:rFonts w:cstheme="minorHAnsi"/>
          <w:b/>
          <w:sz w:val="23"/>
          <w:szCs w:val="23"/>
          <w:lang w:eastAsia="es-ES"/>
        </w:rPr>
        <w:t xml:space="preserve">SEGUNDO. </w:t>
      </w:r>
      <w:r w:rsidR="004659E0" w:rsidRPr="00DE2C21">
        <w:rPr>
          <w:rFonts w:cstheme="minorHAnsi"/>
          <w:b/>
          <w:sz w:val="23"/>
          <w:szCs w:val="23"/>
          <w:lang w:eastAsia="es-ES"/>
        </w:rPr>
        <w:t>Remisión.</w:t>
      </w:r>
      <w:r w:rsidR="008E2A94" w:rsidRPr="00DE2C21">
        <w:rPr>
          <w:rFonts w:cstheme="minorHAnsi"/>
          <w:sz w:val="23"/>
          <w:szCs w:val="23"/>
          <w:lang w:eastAsia="es-ES"/>
        </w:rPr>
        <w:t xml:space="preserve"> </w:t>
      </w:r>
      <w:r w:rsidR="00AD741C" w:rsidRPr="00DE2C21">
        <w:rPr>
          <w:rFonts w:cstheme="minorHAnsi"/>
          <w:sz w:val="23"/>
          <w:szCs w:val="23"/>
          <w:lang w:eastAsia="es-ES"/>
        </w:rPr>
        <w:t xml:space="preserve">De conformidad </w:t>
      </w:r>
      <w:r w:rsidR="004659E0" w:rsidRPr="00DE2C21">
        <w:rPr>
          <w:rFonts w:cstheme="minorHAnsi"/>
          <w:sz w:val="23"/>
          <w:szCs w:val="23"/>
          <w:lang w:eastAsia="es-ES"/>
        </w:rPr>
        <w:t xml:space="preserve">al auto </w:t>
      </w:r>
      <w:r w:rsidR="00AD741C" w:rsidRPr="00DE2C21">
        <w:rPr>
          <w:rFonts w:cstheme="minorHAnsi"/>
          <w:sz w:val="23"/>
          <w:szCs w:val="23"/>
          <w:lang w:eastAsia="es-ES"/>
        </w:rPr>
        <w:t xml:space="preserve">dictado el veintitrés </w:t>
      </w:r>
      <w:r w:rsidR="004659E0" w:rsidRPr="00DE2C21">
        <w:rPr>
          <w:rFonts w:cstheme="minorHAnsi"/>
          <w:sz w:val="23"/>
          <w:szCs w:val="23"/>
          <w:lang w:eastAsia="es-ES"/>
        </w:rPr>
        <w:t xml:space="preserve">de </w:t>
      </w:r>
      <w:r w:rsidR="00AD741C" w:rsidRPr="00DE2C21">
        <w:rPr>
          <w:rFonts w:cstheme="minorHAnsi"/>
          <w:sz w:val="23"/>
          <w:szCs w:val="23"/>
          <w:lang w:eastAsia="es-ES"/>
        </w:rPr>
        <w:t>diciembre</w:t>
      </w:r>
      <w:r w:rsidR="004659E0" w:rsidRPr="00DE2C21">
        <w:rPr>
          <w:rFonts w:cstheme="minorHAnsi"/>
          <w:sz w:val="23"/>
          <w:szCs w:val="23"/>
          <w:lang w:eastAsia="es-ES"/>
        </w:rPr>
        <w:t xml:space="preserve"> dictado por el Tribunal Electoral del Estado de Querétaro, en el expediente TEEQ-PES-13/2020, remítase </w:t>
      </w:r>
      <w:r w:rsidR="008E2A94" w:rsidRPr="00DE2C21">
        <w:rPr>
          <w:rFonts w:cstheme="minorHAnsi"/>
          <w:sz w:val="23"/>
          <w:szCs w:val="23"/>
          <w:lang w:eastAsia="es-ES"/>
        </w:rPr>
        <w:t xml:space="preserve">el </w:t>
      </w:r>
      <w:r w:rsidR="004659E0" w:rsidRPr="00DE2C21">
        <w:rPr>
          <w:rFonts w:cstheme="minorHAnsi"/>
          <w:sz w:val="23"/>
          <w:szCs w:val="23"/>
          <w:lang w:eastAsia="es-ES"/>
        </w:rPr>
        <w:t xml:space="preserve">presente expediente </w:t>
      </w:r>
      <w:r w:rsidR="00620397">
        <w:rPr>
          <w:rFonts w:cstheme="minorHAnsi"/>
          <w:sz w:val="23"/>
          <w:szCs w:val="23"/>
          <w:lang w:eastAsia="es-ES"/>
        </w:rPr>
        <w:t xml:space="preserve">integrado en tres tomos </w:t>
      </w:r>
      <w:r w:rsidR="004659E0" w:rsidRPr="00DE2C21">
        <w:rPr>
          <w:rFonts w:cstheme="minorHAnsi"/>
          <w:sz w:val="23"/>
          <w:szCs w:val="23"/>
          <w:lang w:eastAsia="es-ES"/>
        </w:rPr>
        <w:t>y las constancias respectivas al citado órgano jurisdiccional, para los efectos conducentes.</w:t>
      </w:r>
    </w:p>
    <w:p w:rsidR="004659E0" w:rsidRPr="00DE2C21" w:rsidRDefault="004659E0" w:rsidP="004659E0">
      <w:pPr>
        <w:spacing w:after="0" w:line="276" w:lineRule="auto"/>
        <w:ind w:left="709"/>
        <w:jc w:val="both"/>
        <w:rPr>
          <w:rFonts w:cstheme="minorHAnsi"/>
          <w:sz w:val="23"/>
          <w:szCs w:val="23"/>
          <w:lang w:eastAsia="es-ES"/>
        </w:rPr>
      </w:pPr>
    </w:p>
    <w:p w:rsidR="00A31B3C" w:rsidRPr="00DE2C21" w:rsidRDefault="004659E0" w:rsidP="004659E0">
      <w:pPr>
        <w:spacing w:after="0" w:line="276" w:lineRule="auto"/>
        <w:ind w:left="709"/>
        <w:jc w:val="both"/>
        <w:rPr>
          <w:rFonts w:cstheme="minorHAnsi"/>
          <w:sz w:val="23"/>
          <w:szCs w:val="23"/>
          <w:lang w:eastAsia="es-ES"/>
        </w:rPr>
      </w:pPr>
      <w:r w:rsidRPr="00DE2C21">
        <w:rPr>
          <w:rFonts w:cstheme="minorHAnsi"/>
          <w:sz w:val="23"/>
          <w:szCs w:val="23"/>
          <w:lang w:eastAsia="es-ES"/>
        </w:rPr>
        <w:t xml:space="preserve">Esta autoridad no folia </w:t>
      </w:r>
      <w:r w:rsidR="008E2A94" w:rsidRPr="00DE2C21">
        <w:rPr>
          <w:rFonts w:cstheme="minorHAnsi"/>
          <w:sz w:val="23"/>
          <w:szCs w:val="23"/>
          <w:lang w:eastAsia="es-ES"/>
        </w:rPr>
        <w:t>y</w:t>
      </w:r>
      <w:r w:rsidRPr="00DE2C21">
        <w:rPr>
          <w:rFonts w:cstheme="minorHAnsi"/>
          <w:sz w:val="23"/>
          <w:szCs w:val="23"/>
          <w:lang w:eastAsia="es-ES"/>
        </w:rPr>
        <w:t xml:space="preserve"> rubrica la documentación correspondiente a las diligencias realizadas, al ya formar parte del sumario integrado por el órgano </w:t>
      </w:r>
      <w:r w:rsidRPr="00DE2C21">
        <w:rPr>
          <w:rFonts w:cstheme="minorHAnsi"/>
          <w:sz w:val="23"/>
          <w:szCs w:val="23"/>
          <w:lang w:eastAsia="es-ES"/>
        </w:rPr>
        <w:lastRenderedPageBreak/>
        <w:t>jurisdiccional electoral; lo anterior, en términos del auto de quince de septiembre</w:t>
      </w:r>
      <w:r w:rsidR="003D0648">
        <w:rPr>
          <w:rFonts w:cstheme="minorHAnsi"/>
          <w:sz w:val="23"/>
          <w:szCs w:val="23"/>
          <w:lang w:eastAsia="es-ES"/>
        </w:rPr>
        <w:t xml:space="preserve"> de dos mil veinte</w:t>
      </w:r>
      <w:r w:rsidRPr="00DE2C21">
        <w:rPr>
          <w:rFonts w:cstheme="minorHAnsi"/>
          <w:sz w:val="23"/>
          <w:szCs w:val="23"/>
          <w:lang w:eastAsia="es-ES"/>
        </w:rPr>
        <w:t>, dictado en el TEEQ-PES-12/2020-P, donde conminó</w:t>
      </w:r>
      <w:r w:rsidRPr="00DE2C21">
        <w:rPr>
          <w:sz w:val="23"/>
          <w:szCs w:val="23"/>
          <w:vertAlign w:val="superscript"/>
          <w:lang w:eastAsia="es-ES"/>
        </w:rPr>
        <w:footnoteReference w:id="3"/>
      </w:r>
      <w:r w:rsidRPr="00DE2C21">
        <w:rPr>
          <w:rFonts w:cstheme="minorHAnsi"/>
          <w:sz w:val="23"/>
          <w:szCs w:val="23"/>
          <w:lang w:eastAsia="es-ES"/>
        </w:rPr>
        <w:t xml:space="preserve"> a esta autoridad a abstenerse de rubricar o cruzar las constancias respectivas.</w:t>
      </w:r>
    </w:p>
    <w:p w:rsidR="006C6DB1" w:rsidRPr="00DE2C21" w:rsidRDefault="006C6DB1" w:rsidP="00C65121">
      <w:pPr>
        <w:spacing w:after="0"/>
        <w:ind w:left="709"/>
        <w:jc w:val="both"/>
        <w:rPr>
          <w:rFonts w:cstheme="minorHAnsi"/>
          <w:b/>
          <w:sz w:val="23"/>
          <w:szCs w:val="23"/>
          <w:lang w:eastAsia="es-ES"/>
        </w:rPr>
      </w:pPr>
    </w:p>
    <w:p w:rsidR="00E9419F" w:rsidRPr="00DE2C21" w:rsidRDefault="00A63611" w:rsidP="00384F9F">
      <w:pPr>
        <w:spacing w:after="0" w:line="240" w:lineRule="auto"/>
        <w:ind w:left="709"/>
        <w:jc w:val="both"/>
        <w:rPr>
          <w:rFonts w:cstheme="majorHAnsi"/>
          <w:sz w:val="23"/>
          <w:szCs w:val="23"/>
        </w:rPr>
      </w:pPr>
      <w:r w:rsidRPr="00DE2C21">
        <w:rPr>
          <w:rFonts w:cstheme="minorHAnsi"/>
          <w:b/>
          <w:sz w:val="23"/>
          <w:szCs w:val="23"/>
          <w:lang w:eastAsia="es-ES"/>
        </w:rPr>
        <w:t xml:space="preserve">Notifíquese </w:t>
      </w:r>
      <w:r w:rsidR="000F36BC" w:rsidRPr="00DE2C21">
        <w:rPr>
          <w:rFonts w:cstheme="minorHAnsi"/>
          <w:b/>
          <w:sz w:val="23"/>
          <w:szCs w:val="23"/>
          <w:lang w:eastAsia="es-ES"/>
        </w:rPr>
        <w:t>por estrados,</w:t>
      </w:r>
      <w:r w:rsidRPr="00DE2C21">
        <w:rPr>
          <w:rFonts w:cstheme="minorHAnsi"/>
          <w:b/>
          <w:sz w:val="23"/>
          <w:szCs w:val="23"/>
          <w:lang w:eastAsia="es-ES"/>
        </w:rPr>
        <w:t xml:space="preserve"> con fundamento en los artículos 3 de la</w:t>
      </w:r>
      <w:r w:rsidR="000F36BC" w:rsidRPr="00DE2C21">
        <w:rPr>
          <w:rFonts w:cstheme="minorHAnsi"/>
          <w:b/>
          <w:sz w:val="23"/>
          <w:szCs w:val="23"/>
          <w:lang w:eastAsia="es-ES"/>
        </w:rPr>
        <w:t xml:space="preserve"> </w:t>
      </w:r>
      <w:r w:rsidR="003B08B0" w:rsidRPr="00DE2C21">
        <w:rPr>
          <w:rFonts w:cstheme="minorHAnsi"/>
          <w:b/>
          <w:sz w:val="23"/>
          <w:szCs w:val="23"/>
          <w:lang w:eastAsia="es-ES"/>
        </w:rPr>
        <w:t>Ley Electoral; 50, fracci</w:t>
      </w:r>
      <w:r w:rsidR="004659E0" w:rsidRPr="00DE2C21">
        <w:rPr>
          <w:rFonts w:cstheme="minorHAnsi"/>
          <w:b/>
          <w:sz w:val="23"/>
          <w:szCs w:val="23"/>
          <w:lang w:eastAsia="es-ES"/>
        </w:rPr>
        <w:t>ón</w:t>
      </w:r>
      <w:r w:rsidR="003B08B0" w:rsidRPr="00DE2C21">
        <w:rPr>
          <w:rFonts w:cstheme="minorHAnsi"/>
          <w:b/>
          <w:sz w:val="23"/>
          <w:szCs w:val="23"/>
          <w:lang w:eastAsia="es-ES"/>
        </w:rPr>
        <w:t xml:space="preserve"> II, </w:t>
      </w:r>
      <w:r w:rsidR="004659E0" w:rsidRPr="00DE2C21">
        <w:rPr>
          <w:rFonts w:cstheme="minorHAnsi"/>
          <w:b/>
          <w:sz w:val="23"/>
          <w:szCs w:val="23"/>
          <w:lang w:eastAsia="es-ES"/>
        </w:rPr>
        <w:t xml:space="preserve">52 </w:t>
      </w:r>
      <w:r w:rsidRPr="00DE2C21">
        <w:rPr>
          <w:rFonts w:cstheme="minorHAnsi"/>
          <w:b/>
          <w:sz w:val="23"/>
          <w:szCs w:val="23"/>
          <w:lang w:eastAsia="es-ES"/>
        </w:rPr>
        <w:t>y 56, fracci</w:t>
      </w:r>
      <w:r w:rsidR="004659E0" w:rsidRPr="00DE2C21">
        <w:rPr>
          <w:rFonts w:cstheme="minorHAnsi"/>
          <w:b/>
          <w:sz w:val="23"/>
          <w:szCs w:val="23"/>
          <w:lang w:eastAsia="es-ES"/>
        </w:rPr>
        <w:t>ón</w:t>
      </w:r>
      <w:r w:rsidRPr="00DE2C21">
        <w:rPr>
          <w:rFonts w:cstheme="minorHAnsi"/>
          <w:b/>
          <w:sz w:val="23"/>
          <w:szCs w:val="23"/>
          <w:lang w:eastAsia="es-ES"/>
        </w:rPr>
        <w:t xml:space="preserve"> II de la Ley de Medios. </w:t>
      </w:r>
    </w:p>
    <w:p w:rsidR="00384F9F" w:rsidRPr="00DE2C21" w:rsidRDefault="00384F9F" w:rsidP="00E9419F">
      <w:pPr>
        <w:spacing w:after="0" w:line="240" w:lineRule="auto"/>
        <w:ind w:left="709"/>
        <w:jc w:val="center"/>
        <w:rPr>
          <w:rFonts w:cstheme="majorHAnsi"/>
          <w:sz w:val="23"/>
          <w:szCs w:val="23"/>
        </w:rPr>
      </w:pPr>
    </w:p>
    <w:p w:rsidR="00384F9F" w:rsidRPr="00DE2C21" w:rsidRDefault="00384F9F" w:rsidP="00E9419F">
      <w:pPr>
        <w:spacing w:after="0" w:line="240" w:lineRule="auto"/>
        <w:ind w:left="709"/>
        <w:jc w:val="center"/>
        <w:rPr>
          <w:rFonts w:cstheme="majorHAnsi"/>
          <w:sz w:val="23"/>
          <w:szCs w:val="23"/>
        </w:rPr>
      </w:pPr>
    </w:p>
    <w:p w:rsidR="00E9419F" w:rsidRPr="00DE2C21" w:rsidRDefault="00E9419F" w:rsidP="00E9419F">
      <w:pPr>
        <w:spacing w:after="0" w:line="240" w:lineRule="auto"/>
        <w:ind w:left="709"/>
        <w:jc w:val="center"/>
        <w:rPr>
          <w:rFonts w:cstheme="majorHAnsi"/>
          <w:sz w:val="23"/>
          <w:szCs w:val="23"/>
        </w:rPr>
      </w:pPr>
    </w:p>
    <w:p w:rsidR="00E9419F" w:rsidRPr="00DE2C21" w:rsidRDefault="00E9419F" w:rsidP="00E9419F">
      <w:pPr>
        <w:spacing w:after="0" w:line="240" w:lineRule="auto"/>
        <w:ind w:left="709"/>
        <w:jc w:val="center"/>
        <w:rPr>
          <w:rFonts w:cstheme="minorHAnsi"/>
          <w:b/>
          <w:sz w:val="23"/>
          <w:szCs w:val="23"/>
          <w:lang w:eastAsia="es-ES"/>
        </w:rPr>
      </w:pPr>
      <w:r w:rsidRPr="00DE2C21">
        <w:rPr>
          <w:rFonts w:cstheme="majorHAnsi"/>
          <w:b/>
          <w:sz w:val="23"/>
          <w:szCs w:val="23"/>
        </w:rPr>
        <w:t>Dr. Juan Rivera Hernández</w:t>
      </w:r>
    </w:p>
    <w:p w:rsidR="00E9419F" w:rsidRPr="00DE2C21" w:rsidRDefault="00E9419F" w:rsidP="00E9419F">
      <w:pPr>
        <w:spacing w:after="0" w:line="240" w:lineRule="auto"/>
        <w:ind w:left="709"/>
        <w:jc w:val="center"/>
        <w:rPr>
          <w:rFonts w:cstheme="majorHAnsi"/>
          <w:sz w:val="23"/>
          <w:szCs w:val="23"/>
        </w:rPr>
      </w:pPr>
      <w:r w:rsidRPr="00DE2C21">
        <w:rPr>
          <w:rFonts w:cstheme="majorHAnsi"/>
          <w:sz w:val="23"/>
          <w:szCs w:val="23"/>
        </w:rPr>
        <w:t>Director Ejecutivo de Asuntos Jurídicos</w:t>
      </w:r>
    </w:p>
    <w:sectPr w:rsidR="00E9419F" w:rsidRPr="00DE2C21" w:rsidSect="00181C34">
      <w:footerReference w:type="default" r:id="rId9"/>
      <w:pgSz w:w="12240" w:h="15840"/>
      <w:pgMar w:top="2836"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08" w:rsidRDefault="00167108" w:rsidP="00E9419F">
      <w:pPr>
        <w:spacing w:after="0" w:line="240" w:lineRule="auto"/>
      </w:pPr>
      <w:r>
        <w:separator/>
      </w:r>
    </w:p>
  </w:endnote>
  <w:endnote w:type="continuationSeparator" w:id="0">
    <w:p w:rsidR="00167108" w:rsidRDefault="00167108" w:rsidP="00E9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73500"/>
      <w:docPartObj>
        <w:docPartGallery w:val="Page Numbers (Bottom of Page)"/>
        <w:docPartUnique/>
      </w:docPartObj>
    </w:sdtPr>
    <w:sdtEndPr/>
    <w:sdtContent>
      <w:p w:rsidR="00A0297A" w:rsidRDefault="00A0297A">
        <w:pPr>
          <w:pStyle w:val="Piedepgina"/>
          <w:jc w:val="center"/>
        </w:pPr>
        <w:r>
          <w:fldChar w:fldCharType="begin"/>
        </w:r>
        <w:r>
          <w:instrText>PAGE   \* MERGEFORMAT</w:instrText>
        </w:r>
        <w:r>
          <w:fldChar w:fldCharType="separate"/>
        </w:r>
        <w:r w:rsidR="001D1CF0" w:rsidRPr="001D1CF0">
          <w:rPr>
            <w:noProof/>
            <w:lang w:val="es-ES"/>
          </w:rPr>
          <w:t>1</w:t>
        </w:r>
        <w:r>
          <w:fldChar w:fldCharType="end"/>
        </w:r>
      </w:p>
    </w:sdtContent>
  </w:sdt>
  <w:p w:rsidR="00341C4D" w:rsidRDefault="001671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08" w:rsidRDefault="00167108" w:rsidP="00E9419F">
      <w:pPr>
        <w:spacing w:after="0" w:line="240" w:lineRule="auto"/>
      </w:pPr>
      <w:r>
        <w:separator/>
      </w:r>
    </w:p>
  </w:footnote>
  <w:footnote w:type="continuationSeparator" w:id="0">
    <w:p w:rsidR="00167108" w:rsidRDefault="00167108" w:rsidP="00E9419F">
      <w:pPr>
        <w:spacing w:after="0" w:line="240" w:lineRule="auto"/>
      </w:pPr>
      <w:r>
        <w:continuationSeparator/>
      </w:r>
    </w:p>
  </w:footnote>
  <w:footnote w:id="1">
    <w:p w:rsidR="00E9419F" w:rsidRDefault="00E9419F" w:rsidP="00E9419F">
      <w:pPr>
        <w:pStyle w:val="Textonotapie"/>
        <w:ind w:left="709"/>
      </w:pPr>
      <w:r w:rsidRPr="008425CD">
        <w:rPr>
          <w:rFonts w:ascii="Gothic720 BT" w:hAnsi="Gothic720 BT"/>
          <w:sz w:val="16"/>
          <w:szCs w:val="16"/>
          <w:vertAlign w:val="superscript"/>
        </w:rPr>
        <w:footnoteRef/>
      </w:r>
      <w:r w:rsidRPr="0069361B">
        <w:rPr>
          <w:rFonts w:ascii="Gothic720 BT" w:hAnsi="Gothic720 BT"/>
          <w:sz w:val="16"/>
          <w:szCs w:val="16"/>
        </w:rPr>
        <w:t xml:space="preserve"> Las fechas </w:t>
      </w:r>
      <w:r w:rsidRPr="00213D5F">
        <w:rPr>
          <w:rFonts w:ascii="Gothic720 BT" w:hAnsi="Gothic720 BT"/>
          <w:sz w:val="16"/>
          <w:szCs w:val="16"/>
        </w:rPr>
        <w:t>subsecuentes</w:t>
      </w:r>
      <w:r w:rsidRPr="00864D0A">
        <w:rPr>
          <w:rFonts w:ascii="Gothic720 BT" w:hAnsi="Gothic720 BT"/>
          <w:sz w:val="16"/>
          <w:szCs w:val="16"/>
        </w:rPr>
        <w:t xml:space="preserve"> corresponden al año dos mil veinte, salvo mención diversa.</w:t>
      </w:r>
    </w:p>
  </w:footnote>
  <w:footnote w:id="2">
    <w:p w:rsidR="00E9419F" w:rsidRPr="00A52275" w:rsidRDefault="00E9419F" w:rsidP="00E9419F">
      <w:pPr>
        <w:pStyle w:val="Textonotapie"/>
        <w:ind w:left="709"/>
        <w:rPr>
          <w:rFonts w:cstheme="minorHAnsi"/>
          <w:sz w:val="16"/>
          <w:szCs w:val="16"/>
        </w:rPr>
      </w:pPr>
      <w:r w:rsidRPr="001507F6">
        <w:rPr>
          <w:rStyle w:val="Refdenotaalpie"/>
          <w:rFonts w:ascii="Gothic720 BT" w:hAnsi="Gothic720 BT" w:cstheme="minorHAnsi"/>
          <w:sz w:val="16"/>
          <w:szCs w:val="16"/>
        </w:rPr>
        <w:footnoteRef/>
      </w:r>
      <w:r w:rsidRPr="001507F6">
        <w:rPr>
          <w:rFonts w:ascii="Gothic720 BT" w:hAnsi="Gothic720 BT" w:cstheme="minorHAnsi"/>
          <w:sz w:val="16"/>
          <w:szCs w:val="16"/>
        </w:rPr>
        <w:t xml:space="preserve"> En adelante Ley Electoral.</w:t>
      </w:r>
      <w:r w:rsidRPr="00A52275">
        <w:rPr>
          <w:rFonts w:cstheme="minorHAnsi"/>
          <w:sz w:val="16"/>
          <w:szCs w:val="16"/>
        </w:rPr>
        <w:t xml:space="preserve"> </w:t>
      </w:r>
    </w:p>
  </w:footnote>
  <w:footnote w:id="3">
    <w:p w:rsidR="004659E0" w:rsidRDefault="004659E0" w:rsidP="0015572A">
      <w:pPr>
        <w:pStyle w:val="Textonotapie"/>
        <w:ind w:left="709"/>
        <w:jc w:val="both"/>
        <w:rPr>
          <w:rFonts w:ascii="Gothic720 BT" w:hAnsi="Gothic720 BT"/>
          <w:sz w:val="16"/>
          <w:szCs w:val="16"/>
        </w:rPr>
      </w:pPr>
      <w:r>
        <w:rPr>
          <w:rStyle w:val="Refdenotaalpie"/>
          <w:rFonts w:ascii="Gothic720 BT" w:hAnsi="Gothic720 BT"/>
          <w:sz w:val="16"/>
          <w:szCs w:val="16"/>
        </w:rPr>
        <w:footnoteRef/>
      </w:r>
      <w:r>
        <w:rPr>
          <w:rFonts w:ascii="Gothic720 BT" w:hAnsi="Gothic720 BT"/>
          <w:sz w:val="16"/>
          <w:szCs w:val="16"/>
        </w:rPr>
        <w:t xml:space="preserve"> En los términos siguientes: “En consecuencia, se conmina a la autoridad administrativa electoral, para que en lo sucesivo se abstenga de rubricar o cruzar las constancias de las actuaciones propias de este órgano jurisdiccional que  en original obren en el o los expedientes que le sean remitidos para que actúe dentro de los mismos”.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2D0"/>
    <w:multiLevelType w:val="hybridMultilevel"/>
    <w:tmpl w:val="5360F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7F3441"/>
    <w:multiLevelType w:val="hybridMultilevel"/>
    <w:tmpl w:val="A50C3146"/>
    <w:lvl w:ilvl="0" w:tplc="C6E0FEC4">
      <w:start w:val="1"/>
      <w:numFmt w:val="lowerLetter"/>
      <w:lvlText w:val="%1)"/>
      <w:lvlJc w:val="left"/>
      <w:pPr>
        <w:ind w:left="1481" w:hanging="360"/>
      </w:pPr>
      <w:rPr>
        <w:rFonts w:ascii="Gothic720 BT" w:hAnsi="Gothic720 BT" w:hint="default"/>
        <w:sz w:val="22"/>
        <w:szCs w:val="22"/>
      </w:rPr>
    </w:lvl>
    <w:lvl w:ilvl="1" w:tplc="080A0019" w:tentative="1">
      <w:start w:val="1"/>
      <w:numFmt w:val="lowerLetter"/>
      <w:lvlText w:val="%2."/>
      <w:lvlJc w:val="left"/>
      <w:pPr>
        <w:ind w:left="2201" w:hanging="360"/>
      </w:pPr>
    </w:lvl>
    <w:lvl w:ilvl="2" w:tplc="080A001B" w:tentative="1">
      <w:start w:val="1"/>
      <w:numFmt w:val="lowerRoman"/>
      <w:lvlText w:val="%3."/>
      <w:lvlJc w:val="right"/>
      <w:pPr>
        <w:ind w:left="2921" w:hanging="180"/>
      </w:pPr>
    </w:lvl>
    <w:lvl w:ilvl="3" w:tplc="080A000F" w:tentative="1">
      <w:start w:val="1"/>
      <w:numFmt w:val="decimal"/>
      <w:lvlText w:val="%4."/>
      <w:lvlJc w:val="left"/>
      <w:pPr>
        <w:ind w:left="3641" w:hanging="360"/>
      </w:pPr>
    </w:lvl>
    <w:lvl w:ilvl="4" w:tplc="080A0019" w:tentative="1">
      <w:start w:val="1"/>
      <w:numFmt w:val="lowerLetter"/>
      <w:lvlText w:val="%5."/>
      <w:lvlJc w:val="left"/>
      <w:pPr>
        <w:ind w:left="4361" w:hanging="360"/>
      </w:pPr>
    </w:lvl>
    <w:lvl w:ilvl="5" w:tplc="080A001B" w:tentative="1">
      <w:start w:val="1"/>
      <w:numFmt w:val="lowerRoman"/>
      <w:lvlText w:val="%6."/>
      <w:lvlJc w:val="right"/>
      <w:pPr>
        <w:ind w:left="5081" w:hanging="180"/>
      </w:pPr>
    </w:lvl>
    <w:lvl w:ilvl="6" w:tplc="080A000F" w:tentative="1">
      <w:start w:val="1"/>
      <w:numFmt w:val="decimal"/>
      <w:lvlText w:val="%7."/>
      <w:lvlJc w:val="left"/>
      <w:pPr>
        <w:ind w:left="5801" w:hanging="360"/>
      </w:pPr>
    </w:lvl>
    <w:lvl w:ilvl="7" w:tplc="080A0019" w:tentative="1">
      <w:start w:val="1"/>
      <w:numFmt w:val="lowerLetter"/>
      <w:lvlText w:val="%8."/>
      <w:lvlJc w:val="left"/>
      <w:pPr>
        <w:ind w:left="6521" w:hanging="360"/>
      </w:pPr>
    </w:lvl>
    <w:lvl w:ilvl="8" w:tplc="080A001B" w:tentative="1">
      <w:start w:val="1"/>
      <w:numFmt w:val="lowerRoman"/>
      <w:lvlText w:val="%9."/>
      <w:lvlJc w:val="right"/>
      <w:pPr>
        <w:ind w:left="7241" w:hanging="180"/>
      </w:pPr>
    </w:lvl>
  </w:abstractNum>
  <w:abstractNum w:abstractNumId="2">
    <w:nsid w:val="063561CC"/>
    <w:multiLevelType w:val="hybridMultilevel"/>
    <w:tmpl w:val="4156CD7C"/>
    <w:lvl w:ilvl="0" w:tplc="D704632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AD94E6C"/>
    <w:multiLevelType w:val="hybridMultilevel"/>
    <w:tmpl w:val="984282F8"/>
    <w:lvl w:ilvl="0" w:tplc="B52877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10D15F49"/>
    <w:multiLevelType w:val="hybridMultilevel"/>
    <w:tmpl w:val="5E1EFC58"/>
    <w:lvl w:ilvl="0" w:tplc="080A000F">
      <w:start w:val="1"/>
      <w:numFmt w:val="decimal"/>
      <w:lvlText w:val="%1."/>
      <w:lvlJc w:val="left"/>
      <w:pPr>
        <w:ind w:left="1065" w:hanging="360"/>
      </w:pPr>
      <w:rPr>
        <w:rFonts w:hint="default"/>
        <w:b/>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12A3377D"/>
    <w:multiLevelType w:val="hybridMultilevel"/>
    <w:tmpl w:val="FCA62578"/>
    <w:lvl w:ilvl="0" w:tplc="F3049D7A">
      <w:start w:val="1"/>
      <w:numFmt w:val="decimal"/>
      <w:lvlText w:val="%1."/>
      <w:lvlJc w:val="left"/>
      <w:pPr>
        <w:ind w:left="1429" w:hanging="360"/>
      </w:pPr>
      <w:rPr>
        <w:rFonts w:ascii="Gothic720 BT" w:hAnsi="Gothic720 BT" w:hint="default"/>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2D82BA9"/>
    <w:multiLevelType w:val="hybridMultilevel"/>
    <w:tmpl w:val="49EC4704"/>
    <w:lvl w:ilvl="0" w:tplc="4B7E9296">
      <w:start w:val="1"/>
      <w:numFmt w:val="lowerLetter"/>
      <w:lvlText w:val="%1)"/>
      <w:lvlJc w:val="left"/>
      <w:pPr>
        <w:ind w:left="1494"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0C3BDD"/>
    <w:multiLevelType w:val="hybridMultilevel"/>
    <w:tmpl w:val="B7DE6B0E"/>
    <w:lvl w:ilvl="0" w:tplc="5AF4AC10">
      <w:start w:val="3"/>
      <w:numFmt w:val="lowerLetter"/>
      <w:lvlText w:val="%1)"/>
      <w:lvlJc w:val="left"/>
      <w:pPr>
        <w:ind w:left="148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E336A0"/>
    <w:multiLevelType w:val="hybridMultilevel"/>
    <w:tmpl w:val="9A4820D4"/>
    <w:lvl w:ilvl="0" w:tplc="368E30E8">
      <w:start w:val="1"/>
      <w:numFmt w:val="lowerLetter"/>
      <w:lvlText w:val="%1)"/>
      <w:lvlJc w:val="left"/>
      <w:pPr>
        <w:ind w:left="1494" w:hanging="360"/>
      </w:pPr>
      <w:rPr>
        <w:rFonts w:cs="Times New Roman" w:hint="default"/>
        <w:color w:val="auto"/>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37CC45A9"/>
    <w:multiLevelType w:val="hybridMultilevel"/>
    <w:tmpl w:val="62A84252"/>
    <w:lvl w:ilvl="0" w:tplc="080A000F">
      <w:start w:val="1"/>
      <w:numFmt w:val="decimal"/>
      <w:lvlText w:val="%1."/>
      <w:lvlJc w:val="left"/>
      <w:pPr>
        <w:ind w:left="1288" w:hanging="720"/>
      </w:pPr>
      <w:rPr>
        <w:rFonts w:hint="default"/>
        <w:b w:val="0"/>
        <w:color w:val="auto"/>
        <w:sz w:val="22"/>
        <w:szCs w:val="22"/>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0">
    <w:nsid w:val="44BB6FBB"/>
    <w:multiLevelType w:val="hybridMultilevel"/>
    <w:tmpl w:val="B1CC65B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5ED603BD"/>
    <w:multiLevelType w:val="hybridMultilevel"/>
    <w:tmpl w:val="53D210B0"/>
    <w:lvl w:ilvl="0" w:tplc="3212683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6E6140A0"/>
    <w:multiLevelType w:val="hybridMultilevel"/>
    <w:tmpl w:val="FAC4D420"/>
    <w:lvl w:ilvl="0" w:tplc="FC68C6EC">
      <w:start w:val="1"/>
      <w:numFmt w:val="upperRoman"/>
      <w:lvlText w:val="%1."/>
      <w:lvlJc w:val="left"/>
      <w:pPr>
        <w:ind w:left="1288" w:hanging="720"/>
      </w:pPr>
      <w:rPr>
        <w:rFonts w:ascii="Gothic720 BT" w:hAnsi="Gothic720 BT" w:cstheme="minorBidi" w:hint="default"/>
        <w:b w:val="0"/>
        <w:color w:val="auto"/>
        <w:sz w:val="22"/>
        <w:szCs w:val="22"/>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7BCA3977"/>
    <w:multiLevelType w:val="hybridMultilevel"/>
    <w:tmpl w:val="12BAD66E"/>
    <w:lvl w:ilvl="0" w:tplc="CF6C08D6">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2"/>
  </w:num>
  <w:num w:numId="3">
    <w:abstractNumId w:val="8"/>
  </w:num>
  <w:num w:numId="4">
    <w:abstractNumId w:val="3"/>
  </w:num>
  <w:num w:numId="5">
    <w:abstractNumId w:val="0"/>
  </w:num>
  <w:num w:numId="6">
    <w:abstractNumId w:val="10"/>
  </w:num>
  <w:num w:numId="7">
    <w:abstractNumId w:val="1"/>
  </w:num>
  <w:num w:numId="8">
    <w:abstractNumId w:val="4"/>
  </w:num>
  <w:num w:numId="9">
    <w:abstractNumId w:val="12"/>
  </w:num>
  <w:num w:numId="10">
    <w:abstractNumId w:val="6"/>
  </w:num>
  <w:num w:numId="11">
    <w:abstractNumId w:val="13"/>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9F"/>
    <w:rsid w:val="00052B6A"/>
    <w:rsid w:val="00054C1B"/>
    <w:rsid w:val="00060125"/>
    <w:rsid w:val="00060A61"/>
    <w:rsid w:val="00076889"/>
    <w:rsid w:val="000843AD"/>
    <w:rsid w:val="000B3158"/>
    <w:rsid w:val="000F36BC"/>
    <w:rsid w:val="00107F79"/>
    <w:rsid w:val="00130491"/>
    <w:rsid w:val="0015572A"/>
    <w:rsid w:val="00162CAA"/>
    <w:rsid w:val="00167108"/>
    <w:rsid w:val="00181C34"/>
    <w:rsid w:val="00186B39"/>
    <w:rsid w:val="00190F71"/>
    <w:rsid w:val="001D1CF0"/>
    <w:rsid w:val="001D63DE"/>
    <w:rsid w:val="001E6CC0"/>
    <w:rsid w:val="00231AF3"/>
    <w:rsid w:val="002342FE"/>
    <w:rsid w:val="00234574"/>
    <w:rsid w:val="0024198C"/>
    <w:rsid w:val="00261E94"/>
    <w:rsid w:val="00264007"/>
    <w:rsid w:val="002769CD"/>
    <w:rsid w:val="00277E20"/>
    <w:rsid w:val="00292F3A"/>
    <w:rsid w:val="002B3AEF"/>
    <w:rsid w:val="002C6290"/>
    <w:rsid w:val="003149C0"/>
    <w:rsid w:val="00330188"/>
    <w:rsid w:val="00343981"/>
    <w:rsid w:val="00350D7B"/>
    <w:rsid w:val="003563B8"/>
    <w:rsid w:val="0036358F"/>
    <w:rsid w:val="0037143C"/>
    <w:rsid w:val="00384F9F"/>
    <w:rsid w:val="003B08B0"/>
    <w:rsid w:val="003D0648"/>
    <w:rsid w:val="003D4CDE"/>
    <w:rsid w:val="003E2988"/>
    <w:rsid w:val="003E46EB"/>
    <w:rsid w:val="003E680B"/>
    <w:rsid w:val="004014EC"/>
    <w:rsid w:val="004137D6"/>
    <w:rsid w:val="004206CC"/>
    <w:rsid w:val="00432A4D"/>
    <w:rsid w:val="004659E0"/>
    <w:rsid w:val="00467333"/>
    <w:rsid w:val="004E688E"/>
    <w:rsid w:val="004F1299"/>
    <w:rsid w:val="004F4119"/>
    <w:rsid w:val="00502630"/>
    <w:rsid w:val="005028A9"/>
    <w:rsid w:val="0050357A"/>
    <w:rsid w:val="00522199"/>
    <w:rsid w:val="00551AAE"/>
    <w:rsid w:val="0055678F"/>
    <w:rsid w:val="005855D9"/>
    <w:rsid w:val="005A73C0"/>
    <w:rsid w:val="005C778E"/>
    <w:rsid w:val="005C7B82"/>
    <w:rsid w:val="005D43F3"/>
    <w:rsid w:val="005E2824"/>
    <w:rsid w:val="005E611F"/>
    <w:rsid w:val="005F35BF"/>
    <w:rsid w:val="005F3BB2"/>
    <w:rsid w:val="0060496E"/>
    <w:rsid w:val="00620397"/>
    <w:rsid w:val="0063112F"/>
    <w:rsid w:val="00635B09"/>
    <w:rsid w:val="006A028A"/>
    <w:rsid w:val="006C1DB0"/>
    <w:rsid w:val="006C69AB"/>
    <w:rsid w:val="006C6DB1"/>
    <w:rsid w:val="00740A86"/>
    <w:rsid w:val="007509D1"/>
    <w:rsid w:val="0075552D"/>
    <w:rsid w:val="007606B3"/>
    <w:rsid w:val="00774631"/>
    <w:rsid w:val="007C1DD8"/>
    <w:rsid w:val="007D4276"/>
    <w:rsid w:val="007D4F26"/>
    <w:rsid w:val="007D7132"/>
    <w:rsid w:val="007E353F"/>
    <w:rsid w:val="007E53FE"/>
    <w:rsid w:val="007E73EE"/>
    <w:rsid w:val="007E7B59"/>
    <w:rsid w:val="007F2D2D"/>
    <w:rsid w:val="007F4EF4"/>
    <w:rsid w:val="007F6569"/>
    <w:rsid w:val="00827F45"/>
    <w:rsid w:val="008377A1"/>
    <w:rsid w:val="008425CD"/>
    <w:rsid w:val="008859CA"/>
    <w:rsid w:val="00897DB6"/>
    <w:rsid w:val="008B1380"/>
    <w:rsid w:val="008C5DF4"/>
    <w:rsid w:val="008D576B"/>
    <w:rsid w:val="008E1DC1"/>
    <w:rsid w:val="008E2A94"/>
    <w:rsid w:val="008F3C14"/>
    <w:rsid w:val="009043EC"/>
    <w:rsid w:val="0092252A"/>
    <w:rsid w:val="00924248"/>
    <w:rsid w:val="00930D4B"/>
    <w:rsid w:val="00935D0C"/>
    <w:rsid w:val="00947081"/>
    <w:rsid w:val="0094731A"/>
    <w:rsid w:val="0095428D"/>
    <w:rsid w:val="009B2B44"/>
    <w:rsid w:val="009D49DB"/>
    <w:rsid w:val="009F2C70"/>
    <w:rsid w:val="00A00411"/>
    <w:rsid w:val="00A00453"/>
    <w:rsid w:val="00A0297A"/>
    <w:rsid w:val="00A03A9E"/>
    <w:rsid w:val="00A06980"/>
    <w:rsid w:val="00A12C6B"/>
    <w:rsid w:val="00A31B3C"/>
    <w:rsid w:val="00A472DA"/>
    <w:rsid w:val="00A63611"/>
    <w:rsid w:val="00AA5F14"/>
    <w:rsid w:val="00AB29F5"/>
    <w:rsid w:val="00AD741C"/>
    <w:rsid w:val="00AD79C8"/>
    <w:rsid w:val="00AF46B9"/>
    <w:rsid w:val="00B173B8"/>
    <w:rsid w:val="00B30DFF"/>
    <w:rsid w:val="00B6537A"/>
    <w:rsid w:val="00B81EDA"/>
    <w:rsid w:val="00B8308D"/>
    <w:rsid w:val="00BA226D"/>
    <w:rsid w:val="00BE6396"/>
    <w:rsid w:val="00C17D9D"/>
    <w:rsid w:val="00C21647"/>
    <w:rsid w:val="00C220EF"/>
    <w:rsid w:val="00C41E56"/>
    <w:rsid w:val="00C46C2F"/>
    <w:rsid w:val="00C62E1A"/>
    <w:rsid w:val="00C65121"/>
    <w:rsid w:val="00C676B5"/>
    <w:rsid w:val="00C71D09"/>
    <w:rsid w:val="00CA4DE8"/>
    <w:rsid w:val="00CC224A"/>
    <w:rsid w:val="00CE1ED3"/>
    <w:rsid w:val="00CF66AC"/>
    <w:rsid w:val="00D02EAB"/>
    <w:rsid w:val="00D06D51"/>
    <w:rsid w:val="00D22E4A"/>
    <w:rsid w:val="00D27EF9"/>
    <w:rsid w:val="00D47837"/>
    <w:rsid w:val="00D52B00"/>
    <w:rsid w:val="00D56E95"/>
    <w:rsid w:val="00D95EA5"/>
    <w:rsid w:val="00DC4CF2"/>
    <w:rsid w:val="00DC78CE"/>
    <w:rsid w:val="00DD1C36"/>
    <w:rsid w:val="00DE10C4"/>
    <w:rsid w:val="00DE2C21"/>
    <w:rsid w:val="00DE5527"/>
    <w:rsid w:val="00E130EC"/>
    <w:rsid w:val="00E452B1"/>
    <w:rsid w:val="00E5799C"/>
    <w:rsid w:val="00E9419F"/>
    <w:rsid w:val="00E95575"/>
    <w:rsid w:val="00EB2361"/>
    <w:rsid w:val="00EB247B"/>
    <w:rsid w:val="00EB5770"/>
    <w:rsid w:val="00EE6318"/>
    <w:rsid w:val="00EF4412"/>
    <w:rsid w:val="00F112E5"/>
    <w:rsid w:val="00F23428"/>
    <w:rsid w:val="00F42A8F"/>
    <w:rsid w:val="00F60A77"/>
    <w:rsid w:val="00F6149D"/>
    <w:rsid w:val="00F77F93"/>
    <w:rsid w:val="00FF60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9F"/>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E9419F"/>
    <w:pPr>
      <w:spacing w:after="0" w:line="240" w:lineRule="auto"/>
    </w:pPr>
    <w:rPr>
      <w:rFonts w:asciiTheme="minorHAnsi" w:hAnsiTheme="minorHAnsi"/>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E9419F"/>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E9419F"/>
    <w:rPr>
      <w:vertAlign w:val="superscript"/>
    </w:rPr>
  </w:style>
  <w:style w:type="paragraph" w:styleId="Prrafodelista">
    <w:name w:val="List Paragraph"/>
    <w:aliases w:val="CNBV Parrafo1,Párrafo de lista1"/>
    <w:basedOn w:val="Normal"/>
    <w:link w:val="PrrafodelistaCar"/>
    <w:uiPriority w:val="34"/>
    <w:qFormat/>
    <w:rsid w:val="00E9419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4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19F"/>
    <w:rPr>
      <w:rFonts w:ascii="Gothic720 BT" w:hAnsi="Gothic720 BT"/>
    </w:rPr>
  </w:style>
  <w:style w:type="character" w:styleId="Hipervnculo">
    <w:name w:val="Hyperlink"/>
    <w:basedOn w:val="Fuentedeprrafopredeter"/>
    <w:uiPriority w:val="99"/>
    <w:unhideWhenUsed/>
    <w:rsid w:val="00E9419F"/>
    <w:rPr>
      <w:color w:val="0000FF" w:themeColor="hyperlink"/>
      <w:u w:val="single"/>
    </w:rPr>
  </w:style>
  <w:style w:type="table" w:styleId="Tablaconcuadrcula">
    <w:name w:val="Table Grid"/>
    <w:basedOn w:val="Tablanormal"/>
    <w:uiPriority w:val="39"/>
    <w:rsid w:val="00E9419F"/>
    <w:pPr>
      <w:spacing w:after="0" w:line="240" w:lineRule="auto"/>
    </w:pPr>
    <w:rPr>
      <w:rFonts w:ascii="Gothic720 BT" w:hAnsi="Gothic720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
    <w:link w:val="Prrafodelista"/>
    <w:uiPriority w:val="34"/>
    <w:qFormat/>
    <w:locked/>
    <w:rsid w:val="00E9419F"/>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419F"/>
    <w:pPr>
      <w:jc w:val="both"/>
    </w:pPr>
    <w:rPr>
      <w:rFonts w:asciiTheme="minorHAnsi" w:hAnsiTheme="minorHAnsi"/>
      <w:vertAlign w:val="superscript"/>
    </w:rPr>
  </w:style>
  <w:style w:type="paragraph" w:styleId="Encabezado">
    <w:name w:val="header"/>
    <w:basedOn w:val="Normal"/>
    <w:link w:val="EncabezadoCar"/>
    <w:uiPriority w:val="99"/>
    <w:unhideWhenUsed/>
    <w:rsid w:val="00A02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97A"/>
    <w:rPr>
      <w:rFonts w:ascii="Gothic720 BT" w:hAnsi="Gothic720 BT"/>
    </w:rPr>
  </w:style>
  <w:style w:type="paragraph" w:styleId="Textodeglobo">
    <w:name w:val="Balloon Text"/>
    <w:basedOn w:val="Normal"/>
    <w:link w:val="TextodegloboCar"/>
    <w:uiPriority w:val="99"/>
    <w:semiHidden/>
    <w:unhideWhenUsed/>
    <w:rsid w:val="009542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9F"/>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E9419F"/>
    <w:pPr>
      <w:spacing w:after="0" w:line="240" w:lineRule="auto"/>
    </w:pPr>
    <w:rPr>
      <w:rFonts w:asciiTheme="minorHAnsi" w:hAnsiTheme="minorHAnsi"/>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E9419F"/>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E9419F"/>
    <w:rPr>
      <w:vertAlign w:val="superscript"/>
    </w:rPr>
  </w:style>
  <w:style w:type="paragraph" w:styleId="Prrafodelista">
    <w:name w:val="List Paragraph"/>
    <w:aliases w:val="CNBV Parrafo1,Párrafo de lista1"/>
    <w:basedOn w:val="Normal"/>
    <w:link w:val="PrrafodelistaCar"/>
    <w:uiPriority w:val="34"/>
    <w:qFormat/>
    <w:rsid w:val="00E9419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94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19F"/>
    <w:rPr>
      <w:rFonts w:ascii="Gothic720 BT" w:hAnsi="Gothic720 BT"/>
    </w:rPr>
  </w:style>
  <w:style w:type="character" w:styleId="Hipervnculo">
    <w:name w:val="Hyperlink"/>
    <w:basedOn w:val="Fuentedeprrafopredeter"/>
    <w:uiPriority w:val="99"/>
    <w:unhideWhenUsed/>
    <w:rsid w:val="00E9419F"/>
    <w:rPr>
      <w:color w:val="0000FF" w:themeColor="hyperlink"/>
      <w:u w:val="single"/>
    </w:rPr>
  </w:style>
  <w:style w:type="table" w:styleId="Tablaconcuadrcula">
    <w:name w:val="Table Grid"/>
    <w:basedOn w:val="Tablanormal"/>
    <w:uiPriority w:val="39"/>
    <w:rsid w:val="00E9419F"/>
    <w:pPr>
      <w:spacing w:after="0" w:line="240" w:lineRule="auto"/>
    </w:pPr>
    <w:rPr>
      <w:rFonts w:ascii="Gothic720 BT" w:hAnsi="Gothic720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
    <w:link w:val="Prrafodelista"/>
    <w:uiPriority w:val="34"/>
    <w:qFormat/>
    <w:locked/>
    <w:rsid w:val="00E9419F"/>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419F"/>
    <w:pPr>
      <w:jc w:val="both"/>
    </w:pPr>
    <w:rPr>
      <w:rFonts w:asciiTheme="minorHAnsi" w:hAnsiTheme="minorHAnsi"/>
      <w:vertAlign w:val="superscript"/>
    </w:rPr>
  </w:style>
  <w:style w:type="paragraph" w:styleId="Encabezado">
    <w:name w:val="header"/>
    <w:basedOn w:val="Normal"/>
    <w:link w:val="EncabezadoCar"/>
    <w:uiPriority w:val="99"/>
    <w:unhideWhenUsed/>
    <w:rsid w:val="00A02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97A"/>
    <w:rPr>
      <w:rFonts w:ascii="Gothic720 BT" w:hAnsi="Gothic720 BT"/>
    </w:rPr>
  </w:style>
  <w:style w:type="paragraph" w:styleId="Textodeglobo">
    <w:name w:val="Balloon Text"/>
    <w:basedOn w:val="Normal"/>
    <w:link w:val="TextodegloboCar"/>
    <w:uiPriority w:val="99"/>
    <w:semiHidden/>
    <w:unhideWhenUsed/>
    <w:rsid w:val="009542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5A089-8F9E-461B-BF95-2A0F1BBB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269</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Sebastian.Castro</dc:creator>
  <cp:lastModifiedBy>Sebastian.Castro</cp:lastModifiedBy>
  <cp:revision>11</cp:revision>
  <cp:lastPrinted>2020-11-19T16:40:00Z</cp:lastPrinted>
  <dcterms:created xsi:type="dcterms:W3CDTF">2021-01-11T14:29:00Z</dcterms:created>
  <dcterms:modified xsi:type="dcterms:W3CDTF">2021-01-11T19:14:00Z</dcterms:modified>
</cp:coreProperties>
</file>