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CDDC" w:themeColor="accent5" w:themeTint="99"/>
  <w:body>
    <w:p w:rsidR="00CF30FB" w:rsidRPr="00464232" w:rsidRDefault="00CF30FB" w:rsidP="00CF30FB">
      <w:pPr>
        <w:tabs>
          <w:tab w:val="left" w:pos="426"/>
        </w:tabs>
        <w:spacing w:after="0" w:line="240" w:lineRule="auto"/>
        <w:ind w:left="3828"/>
        <w:jc w:val="both"/>
        <w:textAlignment w:val="baseline"/>
        <w:rPr>
          <w:rFonts w:ascii="Gothic720 BT" w:eastAsia="Times New Roman" w:hAnsi="Gothic720 BT" w:cs="Times New Roman"/>
          <w:b/>
          <w:lang w:val="es-ES" w:eastAsia="es-MX"/>
        </w:rPr>
      </w:pPr>
      <w:r w:rsidRPr="00464232">
        <w:rPr>
          <w:rFonts w:ascii="Gothic720 BT" w:eastAsia="Times New Roman" w:hAnsi="Gothic720 BT" w:cs="Times New Roman"/>
          <w:b/>
          <w:lang w:val="es-ES" w:eastAsia="es-MX"/>
        </w:rPr>
        <w:t>PROCEDIMIENTO ORDINARIO SANCIONADOR.</w:t>
      </w:r>
    </w:p>
    <w:p w:rsidR="00CF30FB" w:rsidRPr="00464232" w:rsidRDefault="00CF30FB" w:rsidP="00CF30FB">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CF30FB" w:rsidRPr="00464232" w:rsidRDefault="00CF30FB" w:rsidP="00CF30FB">
      <w:pPr>
        <w:tabs>
          <w:tab w:val="left" w:pos="426"/>
        </w:tabs>
        <w:spacing w:after="0" w:line="240" w:lineRule="auto"/>
        <w:ind w:left="4111" w:hanging="283"/>
        <w:jc w:val="both"/>
        <w:textAlignment w:val="baseline"/>
        <w:rPr>
          <w:rFonts w:ascii="Gothic720 BT" w:eastAsia="Times New Roman" w:hAnsi="Gothic720 BT" w:cs="Times New Roman"/>
          <w:lang w:val="es-ES" w:eastAsia="es-MX"/>
        </w:rPr>
      </w:pPr>
      <w:r w:rsidRPr="00464232">
        <w:rPr>
          <w:rFonts w:ascii="Gothic720 BT" w:eastAsia="Times New Roman" w:hAnsi="Gothic720 BT" w:cs="Times New Roman"/>
          <w:b/>
          <w:lang w:val="es-ES" w:eastAsia="es-MX"/>
        </w:rPr>
        <w:t>EXPEDIENTE</w:t>
      </w:r>
      <w:r w:rsidRPr="00464232">
        <w:rPr>
          <w:rFonts w:ascii="Gothic720 BT" w:eastAsia="Times New Roman" w:hAnsi="Gothic720 BT" w:cs="Times New Roman"/>
          <w:lang w:val="es-ES" w:eastAsia="es-MX"/>
        </w:rPr>
        <w:t>: IEEQ/POS/</w:t>
      </w:r>
      <w:r w:rsidRPr="00464232">
        <w:rPr>
          <w:rFonts w:ascii="Gothic720 BT" w:eastAsia="Times New Roman" w:hAnsi="Gothic720 BT" w:cs="Times New Roman"/>
          <w:lang w:val="es-ES" w:eastAsia="es-MX"/>
        </w:rPr>
        <w:t>004</w:t>
      </w:r>
      <w:r w:rsidRPr="00464232">
        <w:rPr>
          <w:rFonts w:ascii="Gothic720 BT" w:eastAsia="Times New Roman" w:hAnsi="Gothic720 BT" w:cs="Times New Roman"/>
          <w:lang w:val="es-ES" w:eastAsia="es-MX"/>
        </w:rPr>
        <w:t>/2019-P.</w:t>
      </w:r>
    </w:p>
    <w:p w:rsidR="00CF30FB" w:rsidRPr="00464232" w:rsidRDefault="00CF30FB" w:rsidP="00CF30FB">
      <w:pPr>
        <w:tabs>
          <w:tab w:val="left" w:pos="426"/>
        </w:tabs>
        <w:spacing w:after="0" w:line="240" w:lineRule="auto"/>
        <w:jc w:val="both"/>
        <w:textAlignment w:val="baseline"/>
        <w:rPr>
          <w:rFonts w:ascii="Gothic720 BT" w:eastAsia="Times New Roman" w:hAnsi="Gothic720 BT" w:cs="Times New Roman"/>
          <w:lang w:val="es-ES" w:eastAsia="es-MX"/>
        </w:rPr>
      </w:pPr>
    </w:p>
    <w:p w:rsidR="00CF30FB" w:rsidRPr="00464232" w:rsidRDefault="00CF30FB" w:rsidP="00CF30FB">
      <w:pPr>
        <w:tabs>
          <w:tab w:val="left" w:pos="426"/>
        </w:tabs>
        <w:spacing w:after="0" w:line="240" w:lineRule="auto"/>
        <w:ind w:left="3828"/>
        <w:jc w:val="both"/>
        <w:textAlignment w:val="baseline"/>
        <w:rPr>
          <w:rFonts w:ascii="Gothic720 BT" w:eastAsia="Times New Roman" w:hAnsi="Gothic720 BT" w:cs="Times New Roman"/>
          <w:lang w:val="es-ES" w:eastAsia="es-MX"/>
        </w:rPr>
      </w:pPr>
      <w:r w:rsidRPr="00464232">
        <w:rPr>
          <w:rFonts w:ascii="Gothic720 BT" w:eastAsia="Times New Roman" w:hAnsi="Gothic720 BT" w:cs="Times New Roman"/>
          <w:b/>
          <w:lang w:val="es-ES" w:eastAsia="es-MX"/>
        </w:rPr>
        <w:t xml:space="preserve">DENUNCIADO: </w:t>
      </w:r>
      <w:r w:rsidRPr="00464232">
        <w:rPr>
          <w:rFonts w:ascii="Gothic720 BT" w:eastAsia="Times New Roman" w:hAnsi="Gothic720 BT" w:cs="Times New Roman"/>
          <w:lang w:val="es-ES" w:eastAsia="es-MX"/>
        </w:rPr>
        <w:t xml:space="preserve">PARTIDO </w:t>
      </w:r>
      <w:r w:rsidRPr="00464232">
        <w:rPr>
          <w:rFonts w:ascii="Gothic720 BT" w:eastAsia="Times New Roman" w:hAnsi="Gothic720 BT" w:cs="Times New Roman"/>
          <w:lang w:val="es-ES" w:eastAsia="es-MX"/>
        </w:rPr>
        <w:t>QUERÉTARO INDEPENDIENTE.</w:t>
      </w:r>
    </w:p>
    <w:p w:rsidR="00CF30FB" w:rsidRPr="00464232" w:rsidRDefault="00CF30FB" w:rsidP="00CF30FB">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CF30FB" w:rsidRPr="00464232" w:rsidRDefault="00CF30FB" w:rsidP="00CF30FB">
      <w:pPr>
        <w:tabs>
          <w:tab w:val="left" w:pos="426"/>
        </w:tabs>
        <w:spacing w:after="0" w:line="240" w:lineRule="auto"/>
        <w:ind w:left="3828"/>
        <w:jc w:val="both"/>
        <w:textAlignment w:val="baseline"/>
        <w:rPr>
          <w:rFonts w:ascii="Gothic720 BT" w:hAnsi="Gothic720 BT"/>
        </w:rPr>
      </w:pPr>
      <w:r w:rsidRPr="00464232">
        <w:rPr>
          <w:rFonts w:ascii="Gothic720 BT" w:eastAsia="Times New Roman" w:hAnsi="Gothic720 BT" w:cs="Times New Roman"/>
          <w:b/>
          <w:lang w:val="es-ES" w:eastAsia="es-MX"/>
        </w:rPr>
        <w:t>ASUNTO</w:t>
      </w:r>
      <w:r w:rsidRPr="00464232">
        <w:rPr>
          <w:rFonts w:ascii="Gothic720 BT" w:eastAsia="Times New Roman" w:hAnsi="Gothic720 BT" w:cs="Times New Roman"/>
          <w:lang w:val="es-ES" w:eastAsia="es-MX"/>
        </w:rPr>
        <w:t xml:space="preserve">: </w:t>
      </w:r>
      <w:r w:rsidRPr="00464232">
        <w:rPr>
          <w:rFonts w:ascii="Gothic720 BT" w:hAnsi="Gothic720 BT"/>
        </w:rPr>
        <w:t>RECEPCIÓN.</w:t>
      </w:r>
    </w:p>
    <w:p w:rsidR="00CF30FB" w:rsidRDefault="00CF30FB" w:rsidP="00CF30FB">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464232" w:rsidRPr="00464232" w:rsidRDefault="00464232" w:rsidP="00CF30FB">
      <w:pPr>
        <w:tabs>
          <w:tab w:val="left" w:pos="426"/>
        </w:tabs>
        <w:spacing w:after="0" w:line="240" w:lineRule="auto"/>
        <w:ind w:left="4678"/>
        <w:jc w:val="both"/>
        <w:textAlignment w:val="baseline"/>
        <w:rPr>
          <w:rFonts w:ascii="Gothic720 BT" w:eastAsia="Times New Roman" w:hAnsi="Gothic720 BT" w:cs="Times New Roman"/>
          <w:lang w:val="es-ES" w:eastAsia="es-MX"/>
        </w:rPr>
      </w:pPr>
    </w:p>
    <w:p w:rsidR="00CF30FB" w:rsidRPr="00464232" w:rsidRDefault="00CF30FB" w:rsidP="00CF30FB">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464232">
        <w:rPr>
          <w:rFonts w:ascii="Gothic720 BT" w:eastAsia="Times New Roman" w:hAnsi="Gothic720 BT" w:cs="Times New Roman"/>
          <w:lang w:val="es-ES" w:eastAsia="es-MX"/>
        </w:rPr>
        <w:t>Santiago de Querétaro, Querétaro, tres de febrero de dos mil veintiuno.</w:t>
      </w:r>
    </w:p>
    <w:p w:rsidR="00CF30FB" w:rsidRPr="00464232" w:rsidRDefault="00CF30FB" w:rsidP="00CF30FB">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p>
    <w:p w:rsidR="00E26FC3" w:rsidRPr="00464232" w:rsidRDefault="00CF30FB" w:rsidP="00E26FC3">
      <w:pPr>
        <w:tabs>
          <w:tab w:val="left" w:pos="426"/>
        </w:tabs>
        <w:spacing w:after="0" w:line="240" w:lineRule="auto"/>
        <w:ind w:left="990"/>
        <w:jc w:val="both"/>
        <w:textAlignment w:val="baseline"/>
        <w:rPr>
          <w:rFonts w:ascii="Gothic720 BT" w:eastAsia="Calibri" w:hAnsi="Gothic720 BT" w:cs="Calibri"/>
          <w:color w:val="000000"/>
        </w:rPr>
      </w:pPr>
      <w:r w:rsidRPr="00464232">
        <w:rPr>
          <w:rFonts w:ascii="Gothic720 BT" w:eastAsia="Calibri" w:hAnsi="Gothic720 BT" w:cs="Calibri"/>
          <w:b/>
          <w:color w:val="000000"/>
        </w:rPr>
        <w:t>VISTO</w:t>
      </w:r>
      <w:r w:rsidRPr="00464232">
        <w:rPr>
          <w:rFonts w:ascii="Gothic720 BT" w:eastAsia="Calibri" w:hAnsi="Gothic720 BT" w:cs="Calibri"/>
          <w:color w:val="000000"/>
        </w:rPr>
        <w:t xml:space="preserve"> </w:t>
      </w:r>
      <w:r w:rsidRPr="00464232">
        <w:rPr>
          <w:rFonts w:ascii="Gothic720 BT" w:eastAsia="Calibri" w:hAnsi="Gothic720 BT" w:cs="Calibri"/>
          <w:color w:val="000000"/>
        </w:rPr>
        <w:t xml:space="preserve">el </w:t>
      </w:r>
      <w:r w:rsidRPr="00464232">
        <w:rPr>
          <w:rFonts w:ascii="Gothic720 BT" w:eastAsia="Calibri" w:hAnsi="Gothic720 BT" w:cs="Calibri"/>
        </w:rPr>
        <w:t>oficio</w:t>
      </w:r>
      <w:r w:rsidRPr="00464232">
        <w:rPr>
          <w:rFonts w:ascii="Gothic720 BT" w:eastAsia="Calibri" w:hAnsi="Gothic720 BT" w:cs="Calibri"/>
        </w:rPr>
        <w:t xml:space="preserve"> </w:t>
      </w:r>
      <w:r w:rsidRPr="00464232">
        <w:rPr>
          <w:rFonts w:ascii="Gothic720 BT" w:hAnsi="Gothic720 BT"/>
          <w:lang w:eastAsia="es-MX"/>
        </w:rPr>
        <w:t>CA/240/19</w:t>
      </w:r>
      <w:r w:rsidRPr="00464232">
        <w:rPr>
          <w:rFonts w:ascii="Gothic720 BT" w:hAnsi="Gothic720 BT"/>
          <w:color w:val="1F497D"/>
          <w:lang w:eastAsia="es-MX"/>
        </w:rPr>
        <w:t xml:space="preserve">, </w:t>
      </w:r>
      <w:r w:rsidRPr="00464232">
        <w:rPr>
          <w:rFonts w:ascii="Gothic720 BT" w:eastAsia="Calibri" w:hAnsi="Gothic720 BT" w:cs="Calibri"/>
          <w:color w:val="000000"/>
        </w:rPr>
        <w:t>con fundamento en los artículos 77, fracción V y XIV de la Ley Electoral del Estado de Querétaro</w:t>
      </w:r>
      <w:r w:rsidRPr="00464232">
        <w:rPr>
          <w:rStyle w:val="Refdenotaalpie"/>
          <w:rFonts w:ascii="Gothic720 BT" w:eastAsia="Calibri" w:hAnsi="Gothic720 BT" w:cs="Calibri"/>
          <w:color w:val="000000"/>
        </w:rPr>
        <w:footnoteReference w:id="1"/>
      </w:r>
      <w:r w:rsidRPr="00464232">
        <w:rPr>
          <w:rFonts w:ascii="Gothic720 BT" w:eastAsia="Calibri" w:hAnsi="Gothic720 BT" w:cs="Calibri"/>
          <w:color w:val="000000"/>
        </w:rPr>
        <w:t>,  así como 44, fracción II, inciso i) del Reglamento Interior del Instituto Electoral del Estado; la Dirección Ejecutiva de Asuntos Jurídicos</w:t>
      </w:r>
      <w:r w:rsidRPr="00464232">
        <w:rPr>
          <w:rFonts w:ascii="Gothic720 BT" w:eastAsia="Calibri" w:hAnsi="Gothic720 BT" w:cs="Calibri"/>
          <w:color w:val="000000"/>
          <w:vertAlign w:val="superscript"/>
        </w:rPr>
        <w:footnoteReference w:id="2"/>
      </w:r>
      <w:r w:rsidRPr="00464232">
        <w:rPr>
          <w:rFonts w:ascii="Gothic720 BT" w:eastAsia="Calibri" w:hAnsi="Gothic720 BT" w:cs="Calibri"/>
          <w:color w:val="000000"/>
        </w:rPr>
        <w:t xml:space="preserve"> del Instituto Electoral del Estado de Querétaro</w:t>
      </w:r>
      <w:r w:rsidRPr="00464232">
        <w:rPr>
          <w:rStyle w:val="Refdenotaalpie"/>
          <w:rFonts w:ascii="Gothic720 BT" w:eastAsia="Calibri" w:hAnsi="Gothic720 BT" w:cs="Calibri"/>
          <w:color w:val="000000"/>
        </w:rPr>
        <w:footnoteReference w:id="3"/>
      </w:r>
      <w:r w:rsidRPr="00464232">
        <w:rPr>
          <w:rFonts w:ascii="Gothic720 BT" w:eastAsia="Calibri" w:hAnsi="Gothic720 BT" w:cs="Calibri"/>
          <w:color w:val="000000"/>
        </w:rPr>
        <w:t xml:space="preserve"> </w:t>
      </w:r>
      <w:r w:rsidRPr="00464232">
        <w:rPr>
          <w:rFonts w:ascii="Gothic720 BT" w:eastAsia="Calibri" w:hAnsi="Gothic720 BT" w:cs="Calibri"/>
          <w:b/>
          <w:color w:val="000000"/>
        </w:rPr>
        <w:t>ACUERDA</w:t>
      </w:r>
      <w:r w:rsidRPr="00464232">
        <w:rPr>
          <w:rFonts w:ascii="Gothic720 BT" w:eastAsia="Calibri" w:hAnsi="Gothic720 BT" w:cs="Calibri"/>
          <w:color w:val="000000"/>
        </w:rPr>
        <w:t>:</w:t>
      </w:r>
    </w:p>
    <w:p w:rsidR="00E26FC3" w:rsidRPr="00464232" w:rsidRDefault="00E26FC3" w:rsidP="00E26FC3">
      <w:pPr>
        <w:tabs>
          <w:tab w:val="left" w:pos="426"/>
        </w:tabs>
        <w:spacing w:after="0" w:line="240" w:lineRule="auto"/>
        <w:ind w:left="990"/>
        <w:jc w:val="both"/>
        <w:textAlignment w:val="baseline"/>
        <w:rPr>
          <w:rFonts w:ascii="Gothic720 BT" w:eastAsia="Calibri" w:hAnsi="Gothic720 BT" w:cs="Calibri"/>
          <w:b/>
        </w:rPr>
      </w:pPr>
    </w:p>
    <w:p w:rsidR="00E26FC3" w:rsidRPr="00464232" w:rsidRDefault="00E26FC3" w:rsidP="00E26FC3">
      <w:pPr>
        <w:tabs>
          <w:tab w:val="left" w:pos="426"/>
        </w:tabs>
        <w:spacing w:after="0" w:line="240" w:lineRule="auto"/>
        <w:ind w:left="990"/>
        <w:jc w:val="both"/>
        <w:textAlignment w:val="baseline"/>
        <w:rPr>
          <w:rFonts w:ascii="Gothic720 BT" w:eastAsia="Calibri" w:hAnsi="Gothic720 BT" w:cs="Calibri"/>
          <w:color w:val="000000"/>
        </w:rPr>
      </w:pPr>
      <w:r w:rsidRPr="00464232">
        <w:rPr>
          <w:rFonts w:ascii="Gothic720 BT" w:eastAsia="Calibri" w:hAnsi="Gothic720 BT" w:cs="Calibri"/>
          <w:b/>
        </w:rPr>
        <w:t xml:space="preserve">PRIMERO. Antecedentes. </w:t>
      </w:r>
      <w:r w:rsidRPr="00464232">
        <w:rPr>
          <w:rFonts w:ascii="Gothic720 BT" w:eastAsia="Calibri" w:hAnsi="Gothic720 BT" w:cs="Calibri"/>
        </w:rPr>
        <w:t>El</w:t>
      </w:r>
      <w:r w:rsidRPr="00464232">
        <w:rPr>
          <w:rFonts w:ascii="Gothic720 BT" w:eastAsia="Calibri" w:hAnsi="Gothic720 BT" w:cs="Calibri"/>
        </w:rPr>
        <w:t xml:space="preserve"> veinticinco de enero</w:t>
      </w:r>
      <w:r w:rsidRPr="00464232">
        <w:rPr>
          <w:rFonts w:ascii="Gothic720 BT" w:eastAsia="Calibri" w:hAnsi="Gothic720 BT" w:cs="Calibri"/>
        </w:rPr>
        <w:t xml:space="preserve"> </w:t>
      </w:r>
      <w:r w:rsidRPr="00464232">
        <w:rPr>
          <w:rFonts w:ascii="Gothic720 BT" w:eastAsia="Calibri" w:hAnsi="Gothic720 BT" w:cs="Calibri"/>
        </w:rPr>
        <w:t xml:space="preserve">de la presente anualidad, se envió </w:t>
      </w:r>
      <w:r w:rsidRPr="00464232">
        <w:rPr>
          <w:rFonts w:ascii="Gothic720 BT" w:eastAsia="Calibri" w:hAnsi="Gothic720 BT" w:cs="Calibri"/>
        </w:rPr>
        <w:t xml:space="preserve">al Coordinador Administrativo del Instituto, </w:t>
      </w:r>
      <w:r w:rsidRPr="00464232">
        <w:rPr>
          <w:rFonts w:ascii="Gothic720 BT" w:eastAsia="Calibri" w:hAnsi="Gothic720 BT" w:cs="Calibri"/>
        </w:rPr>
        <w:t xml:space="preserve">vía correo institucional una solicitud, mediante la </w:t>
      </w:r>
      <w:r w:rsidRPr="00464232">
        <w:rPr>
          <w:rFonts w:ascii="Gothic720 BT" w:eastAsia="Calibri" w:hAnsi="Gothic720 BT" w:cs="Calibri"/>
        </w:rPr>
        <w:t>cual, en atención al resolutivo tercer</w:t>
      </w:r>
      <w:r w:rsidR="00464232" w:rsidRPr="00464232">
        <w:rPr>
          <w:rFonts w:ascii="Gothic720 BT" w:eastAsia="Calibri" w:hAnsi="Gothic720 BT" w:cs="Calibri"/>
        </w:rPr>
        <w:t>o de la resolución IEEQ/CG/R/002/19</w:t>
      </w:r>
      <w:r w:rsidRPr="00464232">
        <w:rPr>
          <w:rFonts w:ascii="Gothic720 BT" w:eastAsia="Calibri" w:hAnsi="Gothic720 BT" w:cs="Calibri"/>
        </w:rPr>
        <w:t xml:space="preserve">, dictada en el expediente citado al rubro, </w:t>
      </w:r>
      <w:r w:rsidR="00464232" w:rsidRPr="00464232">
        <w:rPr>
          <w:rFonts w:ascii="Gothic720 BT" w:eastAsia="Calibri" w:hAnsi="Gothic720 BT" w:cs="Calibri"/>
        </w:rPr>
        <w:t xml:space="preserve">se </w:t>
      </w:r>
      <w:r w:rsidRPr="00464232">
        <w:rPr>
          <w:rFonts w:ascii="Gothic720 BT" w:eastAsia="Calibri" w:hAnsi="Gothic720 BT" w:cs="Calibri"/>
        </w:rPr>
        <w:t>solicitó la deducción de la multa de ministración mensual del Partido</w:t>
      </w:r>
      <w:r w:rsidR="00B17F6D">
        <w:rPr>
          <w:rFonts w:ascii="Gothic720 BT" w:eastAsia="Calibri" w:hAnsi="Gothic720 BT" w:cs="Calibri"/>
        </w:rPr>
        <w:t xml:space="preserve"> Querétaro Independiente</w:t>
      </w:r>
      <w:r w:rsidR="00464232" w:rsidRPr="00464232">
        <w:rPr>
          <w:rFonts w:ascii="Gothic720 BT" w:eastAsia="Calibri" w:hAnsi="Gothic720 BT" w:cs="Calibri"/>
        </w:rPr>
        <w:t>, por la cantidad de $44,215.65 (cuarenta y cuatro mil doscientos quince pesos 65/100 M.N.).</w:t>
      </w:r>
    </w:p>
    <w:p w:rsidR="00E26FC3" w:rsidRPr="00464232" w:rsidRDefault="00E26FC3" w:rsidP="00CF30FB">
      <w:pPr>
        <w:tabs>
          <w:tab w:val="left" w:pos="426"/>
        </w:tabs>
        <w:spacing w:after="0" w:line="240" w:lineRule="auto"/>
        <w:ind w:left="990"/>
        <w:jc w:val="both"/>
        <w:textAlignment w:val="baseline"/>
        <w:rPr>
          <w:rFonts w:ascii="Gothic720 BT" w:eastAsia="Calibri" w:hAnsi="Gothic720 BT" w:cs="Calibri"/>
          <w:b/>
        </w:rPr>
      </w:pPr>
    </w:p>
    <w:p w:rsidR="00CF30FB" w:rsidRPr="00464232" w:rsidRDefault="00E26FC3" w:rsidP="00CF30FB">
      <w:pPr>
        <w:tabs>
          <w:tab w:val="left" w:pos="426"/>
        </w:tabs>
        <w:spacing w:after="0" w:line="240" w:lineRule="auto"/>
        <w:ind w:left="990"/>
        <w:jc w:val="both"/>
        <w:textAlignment w:val="baseline"/>
        <w:rPr>
          <w:rFonts w:ascii="Gothic720 BT" w:eastAsia="Times New Roman" w:hAnsi="Gothic720 BT" w:cs="Times New Roman"/>
          <w:color w:val="000000"/>
          <w:lang w:val="es-ES" w:eastAsia="es-MX"/>
        </w:rPr>
      </w:pPr>
      <w:r w:rsidRPr="00464232">
        <w:rPr>
          <w:rFonts w:ascii="Gothic720 BT" w:eastAsia="Calibri" w:hAnsi="Gothic720 BT" w:cs="Calibri"/>
          <w:b/>
        </w:rPr>
        <w:t>SEGUNDO</w:t>
      </w:r>
      <w:r w:rsidR="00CF30FB" w:rsidRPr="00464232">
        <w:rPr>
          <w:rFonts w:ascii="Gothic720 BT" w:eastAsia="Calibri" w:hAnsi="Gothic720 BT" w:cs="Calibri"/>
          <w:b/>
        </w:rPr>
        <w:t>. Recepción.</w:t>
      </w:r>
      <w:r w:rsidR="00CF30FB" w:rsidRPr="00464232">
        <w:rPr>
          <w:rFonts w:ascii="Gothic720 BT" w:eastAsia="Calibri" w:hAnsi="Gothic720 BT" w:cs="Calibri"/>
        </w:rPr>
        <w:t xml:space="preserve"> Se ti</w:t>
      </w:r>
      <w:r w:rsidR="004A2221">
        <w:rPr>
          <w:rFonts w:ascii="Gothic720 BT" w:eastAsia="Calibri" w:hAnsi="Gothic720 BT" w:cs="Calibri"/>
        </w:rPr>
        <w:t>ene</w:t>
      </w:r>
      <w:r w:rsidR="00CF30FB" w:rsidRPr="00464232">
        <w:rPr>
          <w:rFonts w:ascii="Gothic720 BT" w:eastAsia="Calibri" w:hAnsi="Gothic720 BT" w:cs="Calibri"/>
        </w:rPr>
        <w:t xml:space="preserve"> por recibido</w:t>
      </w:r>
      <w:r w:rsidR="00CF30FB" w:rsidRPr="00464232">
        <w:rPr>
          <w:rFonts w:ascii="Gothic720 BT" w:eastAsia="Calibri" w:hAnsi="Gothic720 BT" w:cs="Calibri"/>
        </w:rPr>
        <w:t xml:space="preserve"> </w:t>
      </w:r>
      <w:r w:rsidR="00CF30FB" w:rsidRPr="00464232">
        <w:rPr>
          <w:rFonts w:ascii="Gothic720 BT" w:eastAsia="Calibri" w:hAnsi="Gothic720 BT" w:cs="Calibri"/>
        </w:rPr>
        <w:t>el oficio</w:t>
      </w:r>
      <w:r w:rsidR="00CF30FB" w:rsidRPr="00464232">
        <w:rPr>
          <w:rFonts w:ascii="Gothic720 BT" w:eastAsia="Calibri" w:hAnsi="Gothic720 BT" w:cs="Calibri"/>
        </w:rPr>
        <w:t xml:space="preserve"> de cuenta</w:t>
      </w:r>
      <w:r w:rsidR="00CF30FB" w:rsidRPr="00464232">
        <w:rPr>
          <w:rFonts w:ascii="Gothic720 BT" w:eastAsia="Calibri" w:hAnsi="Gothic720 BT" w:cs="Calibri"/>
        </w:rPr>
        <w:t xml:space="preserve">, mediante el cual, </w:t>
      </w:r>
      <w:r w:rsidR="00CF30FB" w:rsidRPr="00464232">
        <w:rPr>
          <w:rFonts w:ascii="Gothic720 BT" w:hAnsi="Gothic720 BT"/>
          <w:lang w:eastAsia="es-MX"/>
        </w:rPr>
        <w:t xml:space="preserve">en atención al resolutivo tercero de la resolución  </w:t>
      </w:r>
      <w:r w:rsidRPr="00464232">
        <w:rPr>
          <w:rFonts w:ascii="Gothic720 BT" w:hAnsi="Gothic720 BT"/>
          <w:lang w:eastAsia="es-MX"/>
        </w:rPr>
        <w:t>IEEQ/CG/R/002</w:t>
      </w:r>
      <w:r w:rsidR="00CF30FB" w:rsidRPr="00464232">
        <w:rPr>
          <w:rFonts w:ascii="Gothic720 BT" w:hAnsi="Gothic720 BT"/>
          <w:lang w:eastAsia="es-MX"/>
        </w:rPr>
        <w:t>/19 dictada en el expediente citado al rubro, el Titular de la Coordinación Administrativa del Instituto informa de la deducción realizada al Partido</w:t>
      </w:r>
      <w:r w:rsidRPr="00464232">
        <w:rPr>
          <w:rFonts w:ascii="Gothic720 BT" w:hAnsi="Gothic720 BT"/>
          <w:lang w:eastAsia="es-MX"/>
        </w:rPr>
        <w:t xml:space="preserve"> Querétaro Independiente</w:t>
      </w:r>
      <w:r w:rsidR="00CF30FB" w:rsidRPr="00464232">
        <w:rPr>
          <w:rFonts w:ascii="Gothic720 BT" w:hAnsi="Gothic720 BT"/>
          <w:lang w:eastAsia="es-MX"/>
        </w:rPr>
        <w:t xml:space="preserve">, </w:t>
      </w:r>
      <w:r w:rsidRPr="00464232">
        <w:rPr>
          <w:rFonts w:ascii="Gothic720 BT" w:hAnsi="Gothic720 BT"/>
          <w:lang w:eastAsia="es-MX"/>
        </w:rPr>
        <w:t>durante el mes de octubre</w:t>
      </w:r>
      <w:r w:rsidR="002F7194">
        <w:rPr>
          <w:rFonts w:ascii="Gothic720 BT" w:hAnsi="Gothic720 BT"/>
          <w:lang w:eastAsia="es-MX"/>
        </w:rPr>
        <w:t xml:space="preserve"> de dos mil diecinueve</w:t>
      </w:r>
      <w:r w:rsidR="00CF30FB" w:rsidRPr="00464232">
        <w:rPr>
          <w:rFonts w:ascii="Gothic720 BT" w:hAnsi="Gothic720 BT"/>
          <w:lang w:eastAsia="es-MX"/>
        </w:rPr>
        <w:t>, por concepto de la multa impuesta, el cual consta de una foja.</w:t>
      </w:r>
    </w:p>
    <w:p w:rsidR="00464232" w:rsidRDefault="00464232" w:rsidP="0007669C">
      <w:pPr>
        <w:spacing w:after="0" w:line="240" w:lineRule="auto"/>
        <w:jc w:val="both"/>
        <w:rPr>
          <w:rFonts w:ascii="Gothic720 BT" w:eastAsia="Calibri" w:hAnsi="Gothic720 BT"/>
        </w:rPr>
      </w:pPr>
    </w:p>
    <w:p w:rsidR="0007669C" w:rsidRDefault="0007669C" w:rsidP="00E26FC3">
      <w:pPr>
        <w:spacing w:after="0" w:line="240" w:lineRule="auto"/>
        <w:ind w:left="993"/>
        <w:jc w:val="both"/>
        <w:rPr>
          <w:rFonts w:ascii="Gothic720 BT" w:eastAsia="Calibri" w:hAnsi="Gothic720 BT"/>
        </w:rPr>
      </w:pPr>
    </w:p>
    <w:p w:rsidR="0007669C" w:rsidRDefault="0007669C" w:rsidP="00E26FC3">
      <w:pPr>
        <w:spacing w:after="0" w:line="240" w:lineRule="auto"/>
        <w:ind w:left="993"/>
        <w:jc w:val="both"/>
        <w:rPr>
          <w:rFonts w:ascii="Gothic720 BT" w:eastAsia="Calibri" w:hAnsi="Gothic720 BT"/>
        </w:rPr>
      </w:pPr>
    </w:p>
    <w:p w:rsidR="00CF30FB" w:rsidRPr="00464232" w:rsidRDefault="00CF30FB" w:rsidP="0007669C">
      <w:pPr>
        <w:spacing w:after="0" w:line="240" w:lineRule="auto"/>
        <w:ind w:left="993"/>
        <w:jc w:val="both"/>
        <w:rPr>
          <w:rFonts w:ascii="Gothic720 BT" w:eastAsia="Calibri" w:hAnsi="Gothic720 BT"/>
        </w:rPr>
      </w:pPr>
      <w:r w:rsidRPr="00464232">
        <w:rPr>
          <w:rFonts w:ascii="Gothic720 BT" w:eastAsia="Calibri" w:hAnsi="Gothic720 BT"/>
        </w:rPr>
        <w:lastRenderedPageBreak/>
        <w:t>D</w:t>
      </w:r>
      <w:r w:rsidR="00042DDC">
        <w:rPr>
          <w:rFonts w:ascii="Gothic720 BT" w:eastAsia="Calibri" w:hAnsi="Gothic720 BT"/>
        </w:rPr>
        <w:t>ocumento</w:t>
      </w:r>
      <w:r w:rsidR="0007669C">
        <w:rPr>
          <w:rFonts w:ascii="Gothic720 BT" w:eastAsia="Calibri" w:hAnsi="Gothic720 BT"/>
        </w:rPr>
        <w:t xml:space="preserve"> </w:t>
      </w:r>
      <w:r w:rsidRPr="00464232">
        <w:rPr>
          <w:rFonts w:ascii="Gothic720 BT" w:eastAsia="Calibri" w:hAnsi="Gothic720 BT"/>
        </w:rPr>
        <w:t>que se ordena agregar a los autos del presente para que obre como corresponda.</w:t>
      </w:r>
    </w:p>
    <w:p w:rsidR="00CF30FB" w:rsidRPr="00464232" w:rsidRDefault="00CF30FB" w:rsidP="00CF30FB">
      <w:pPr>
        <w:spacing w:after="0" w:line="240" w:lineRule="auto"/>
        <w:jc w:val="both"/>
        <w:textAlignment w:val="baseline"/>
        <w:rPr>
          <w:rFonts w:ascii="Gothic720 BT" w:eastAsia="Times New Roman" w:hAnsi="Gothic720 BT" w:cs="Times New Roman"/>
          <w:bCs/>
          <w:lang w:val="es-ES" w:eastAsia="es-MX"/>
        </w:rPr>
      </w:pPr>
    </w:p>
    <w:p w:rsidR="00CF30FB" w:rsidRPr="00464232" w:rsidRDefault="00CF30FB" w:rsidP="00CF30FB">
      <w:pPr>
        <w:tabs>
          <w:tab w:val="left" w:pos="6379"/>
        </w:tabs>
        <w:ind w:left="993"/>
        <w:jc w:val="both"/>
        <w:rPr>
          <w:rFonts w:ascii="Gothic720 BT" w:eastAsia="Times New Roman" w:hAnsi="Gothic720 BT" w:cs="Times New Roman"/>
          <w:color w:val="000000"/>
          <w:lang w:val="es-ES" w:eastAsia="es-MX"/>
        </w:rPr>
      </w:pPr>
      <w:r w:rsidRPr="00464232">
        <w:rPr>
          <w:rFonts w:ascii="Gothic720 BT" w:hAnsi="Gothic720 BT" w:cstheme="minorHAnsi"/>
          <w:b/>
          <w:lang w:eastAsia="es-ES"/>
        </w:rPr>
        <w:t>Notifíquese por estrados a las partes, con fundamento en los artículos 3 de la Ley Electoral; 48 fracción II, 50 y 56, fracción II de la Ley de Medios.</w:t>
      </w:r>
    </w:p>
    <w:p w:rsidR="00CF30FB" w:rsidRPr="00464232" w:rsidRDefault="00CF30FB" w:rsidP="00CF30FB">
      <w:pPr>
        <w:spacing w:after="0" w:line="240" w:lineRule="auto"/>
        <w:ind w:left="990"/>
        <w:jc w:val="both"/>
        <w:textAlignment w:val="baseline"/>
        <w:rPr>
          <w:rFonts w:ascii="Gothic720 BT" w:eastAsia="Times New Roman" w:hAnsi="Gothic720 BT" w:cs="Times New Roman"/>
          <w:color w:val="000000"/>
          <w:lang w:val="es-ES" w:eastAsia="es-MX"/>
        </w:rPr>
      </w:pPr>
      <w:r w:rsidRPr="00464232">
        <w:rPr>
          <w:rFonts w:ascii="Gothic720 BT" w:eastAsia="Times New Roman" w:hAnsi="Gothic720 BT" w:cs="Times New Roman"/>
          <w:color w:val="000000"/>
          <w:lang w:val="es-ES" w:eastAsia="es-MX"/>
        </w:rPr>
        <w:t xml:space="preserve">Así lo proveyó y firmó el Director Ejecutivo de Asuntos Jurídicos. </w:t>
      </w:r>
      <w:r w:rsidRPr="00464232">
        <w:rPr>
          <w:rFonts w:ascii="Gothic720 BT" w:eastAsia="Times New Roman" w:hAnsi="Gothic720 BT" w:cs="Times New Roman"/>
          <w:b/>
          <w:bCs/>
          <w:color w:val="000000"/>
          <w:lang w:val="es-ES" w:eastAsia="es-MX"/>
        </w:rPr>
        <w:t>CONSTE</w:t>
      </w:r>
      <w:r w:rsidRPr="00464232">
        <w:rPr>
          <w:rFonts w:ascii="Gothic720 BT" w:eastAsia="Times New Roman" w:hAnsi="Gothic720 BT" w:cs="Times New Roman"/>
          <w:color w:val="000000"/>
          <w:lang w:val="es-ES" w:eastAsia="es-MX"/>
        </w:rPr>
        <w:t>.  </w:t>
      </w:r>
    </w:p>
    <w:p w:rsidR="00CF30FB" w:rsidRPr="00464232" w:rsidRDefault="00CF30FB" w:rsidP="00CF30FB">
      <w:pPr>
        <w:spacing w:after="0" w:line="240" w:lineRule="auto"/>
        <w:jc w:val="both"/>
        <w:textAlignment w:val="baseline"/>
        <w:rPr>
          <w:rFonts w:ascii="Gothic720 BT" w:eastAsia="Times New Roman" w:hAnsi="Gothic720 BT" w:cs="Times New Roman"/>
          <w:b/>
          <w:bCs/>
          <w:lang w:eastAsia="es-MX"/>
        </w:rPr>
      </w:pPr>
    </w:p>
    <w:p w:rsidR="00CF30FB" w:rsidRPr="00464232" w:rsidRDefault="00CF30FB" w:rsidP="00CF30FB">
      <w:pPr>
        <w:spacing w:after="0" w:line="240" w:lineRule="auto"/>
        <w:jc w:val="both"/>
        <w:textAlignment w:val="baseline"/>
        <w:rPr>
          <w:rFonts w:ascii="Gothic720 BT" w:eastAsia="Times New Roman" w:hAnsi="Gothic720 BT" w:cs="Times New Roman"/>
          <w:b/>
          <w:bCs/>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val="es-ES" w:eastAsia="es-MX"/>
        </w:rPr>
      </w:pPr>
      <w:r w:rsidRPr="00464232">
        <w:rPr>
          <w:rFonts w:ascii="Gothic720 BT" w:eastAsia="Times New Roman" w:hAnsi="Gothic720 BT" w:cs="Times New Roman"/>
          <w:b/>
          <w:bCs/>
          <w:lang w:eastAsia="es-MX"/>
        </w:rPr>
        <w:t>Dr. Juan Rivera Hernández</w:t>
      </w: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r w:rsidRPr="00464232">
        <w:rPr>
          <w:rFonts w:ascii="Gothic720 BT" w:eastAsia="Times New Roman" w:hAnsi="Gothic720 BT" w:cs="Times New Roman"/>
          <w:lang w:eastAsia="es-MX"/>
        </w:rPr>
        <w:t>Director Ejecutivo de Asuntos Jurídicos</w:t>
      </w: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CF30FB" w:rsidRPr="00464232" w:rsidRDefault="00CF30FB" w:rsidP="00CF30FB">
      <w:pPr>
        <w:spacing w:after="0" w:line="240" w:lineRule="auto"/>
        <w:jc w:val="center"/>
        <w:textAlignment w:val="baseline"/>
        <w:rPr>
          <w:rFonts w:ascii="Gothic720 BT" w:eastAsia="Times New Roman" w:hAnsi="Gothic720 BT" w:cs="Times New Roman"/>
          <w:lang w:eastAsia="es-MX"/>
        </w:rPr>
      </w:pPr>
    </w:p>
    <w:p w:rsidR="00464232" w:rsidRDefault="00464232" w:rsidP="00CF30FB">
      <w:pPr>
        <w:spacing w:after="0" w:line="240" w:lineRule="auto"/>
        <w:textAlignment w:val="baseline"/>
        <w:rPr>
          <w:rFonts w:ascii="Gothic720 BT" w:eastAsia="Times New Roman" w:hAnsi="Gothic720 BT" w:cs="Times New Roman"/>
          <w:lang w:eastAsia="es-MX"/>
        </w:rPr>
      </w:pPr>
    </w:p>
    <w:p w:rsidR="007346EA" w:rsidRPr="00464232" w:rsidRDefault="007346EA" w:rsidP="00CF30FB">
      <w:pPr>
        <w:spacing w:after="0" w:line="240" w:lineRule="auto"/>
        <w:textAlignment w:val="baseline"/>
        <w:rPr>
          <w:rFonts w:ascii="Gothic720 BT" w:eastAsia="Times New Roman" w:hAnsi="Gothic720 BT" w:cs="Times New Roman"/>
          <w:lang w:eastAsia="es-MX"/>
        </w:rPr>
      </w:pPr>
      <w:bookmarkStart w:id="0" w:name="_GoBack"/>
      <w:bookmarkEnd w:id="0"/>
    </w:p>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CF30FB" w:rsidRPr="00464232" w:rsidTr="00DA3867">
        <w:trPr>
          <w:trHeight w:val="3367"/>
        </w:trPr>
        <w:tc>
          <w:tcPr>
            <w:tcW w:w="5498" w:type="dxa"/>
          </w:tcPr>
          <w:p w:rsidR="00CF30FB" w:rsidRPr="00464232" w:rsidRDefault="00CF30FB" w:rsidP="00DA3867">
            <w:pPr>
              <w:jc w:val="both"/>
              <w:rPr>
                <w:rFonts w:ascii="Gothic720 BT" w:hAnsi="Gothic720 BT"/>
                <w:b/>
              </w:rPr>
            </w:pPr>
          </w:p>
          <w:p w:rsidR="00CF30FB" w:rsidRPr="00464232" w:rsidRDefault="00CF30FB" w:rsidP="00DA3867">
            <w:pPr>
              <w:jc w:val="both"/>
              <w:rPr>
                <w:rFonts w:ascii="Gothic720 BT" w:hAnsi="Gothic720 BT"/>
                <w:b/>
              </w:rPr>
            </w:pPr>
            <w:r w:rsidRPr="00464232">
              <w:rPr>
                <w:rFonts w:ascii="Gothic720 BT" w:hAnsi="Gothic720 BT"/>
                <w:b/>
              </w:rPr>
              <w:t>PROCEDIMIENTO ORDINARIO SANCIONADOR.</w:t>
            </w:r>
          </w:p>
          <w:p w:rsidR="00CF30FB" w:rsidRPr="00464232" w:rsidRDefault="00CF30FB" w:rsidP="00DA3867">
            <w:pPr>
              <w:jc w:val="both"/>
              <w:rPr>
                <w:rFonts w:ascii="Gothic720 BT" w:hAnsi="Gothic720 BT"/>
                <w:b/>
              </w:rPr>
            </w:pPr>
          </w:p>
          <w:p w:rsidR="00CF30FB" w:rsidRPr="00464232" w:rsidRDefault="00CF30FB" w:rsidP="00DA3867">
            <w:pPr>
              <w:jc w:val="both"/>
              <w:rPr>
                <w:rFonts w:ascii="Gothic720 BT" w:hAnsi="Gothic720 BT"/>
                <w:b/>
              </w:rPr>
            </w:pPr>
            <w:r w:rsidRPr="00464232">
              <w:rPr>
                <w:rFonts w:ascii="Gothic720 BT" w:hAnsi="Gothic720 BT"/>
                <w:b/>
              </w:rPr>
              <w:t xml:space="preserve">EXPEDIENTE: </w:t>
            </w:r>
            <w:r w:rsidRPr="00464232">
              <w:rPr>
                <w:rFonts w:ascii="Gothic720 BT" w:hAnsi="Gothic720 BT"/>
              </w:rPr>
              <w:t>IEEQ/PO</w:t>
            </w:r>
            <w:r w:rsidRPr="00464232">
              <w:rPr>
                <w:rFonts w:ascii="Gothic720 BT" w:hAnsi="Gothic720 BT"/>
              </w:rPr>
              <w:t>S/004</w:t>
            </w:r>
            <w:r w:rsidRPr="00464232">
              <w:rPr>
                <w:rFonts w:ascii="Gothic720 BT" w:hAnsi="Gothic720 BT"/>
              </w:rPr>
              <w:t>/2019-P</w:t>
            </w:r>
            <w:r w:rsidRPr="00464232">
              <w:rPr>
                <w:rFonts w:ascii="Gothic720 BT" w:hAnsi="Gothic720 BT"/>
                <w:b/>
              </w:rPr>
              <w:t>.</w:t>
            </w:r>
          </w:p>
          <w:p w:rsidR="00CF30FB" w:rsidRPr="00464232" w:rsidRDefault="00CF30FB" w:rsidP="00DA3867">
            <w:pPr>
              <w:jc w:val="both"/>
              <w:rPr>
                <w:rFonts w:ascii="Gothic720 BT" w:hAnsi="Gothic720 BT"/>
                <w:b/>
              </w:rPr>
            </w:pPr>
          </w:p>
          <w:p w:rsidR="00CF30FB" w:rsidRPr="00464232" w:rsidRDefault="00CF30FB" w:rsidP="00DA3867">
            <w:pPr>
              <w:jc w:val="both"/>
              <w:rPr>
                <w:rFonts w:ascii="Gothic720 BT" w:hAnsi="Gothic720 BT"/>
              </w:rPr>
            </w:pPr>
            <w:r w:rsidRPr="00464232">
              <w:rPr>
                <w:rFonts w:ascii="Gothic720 BT" w:hAnsi="Gothic720 BT"/>
                <w:b/>
              </w:rPr>
              <w:t xml:space="preserve">DENUNCIADO: </w:t>
            </w:r>
            <w:r w:rsidRPr="00464232">
              <w:rPr>
                <w:rFonts w:ascii="Gothic720 BT" w:hAnsi="Gothic720 BT"/>
              </w:rPr>
              <w:t xml:space="preserve">PARTIDO </w:t>
            </w:r>
            <w:r w:rsidRPr="00464232">
              <w:rPr>
                <w:rFonts w:ascii="Gothic720 BT" w:hAnsi="Gothic720 BT"/>
              </w:rPr>
              <w:t>QUERÉTARO INDEPENDIENTE.</w:t>
            </w:r>
          </w:p>
          <w:p w:rsidR="00CF30FB" w:rsidRPr="00464232" w:rsidRDefault="00CF30FB" w:rsidP="00DA3867">
            <w:pPr>
              <w:jc w:val="both"/>
              <w:rPr>
                <w:rFonts w:ascii="Gothic720 BT" w:hAnsi="Gothic720 BT"/>
                <w:b/>
              </w:rPr>
            </w:pPr>
          </w:p>
          <w:p w:rsidR="00CF30FB" w:rsidRPr="00464232" w:rsidRDefault="00CF30FB" w:rsidP="00CF30FB">
            <w:pPr>
              <w:jc w:val="both"/>
              <w:rPr>
                <w:rFonts w:ascii="Gothic720 BT" w:hAnsi="Gothic720 BT"/>
              </w:rPr>
            </w:pPr>
            <w:r w:rsidRPr="00464232">
              <w:rPr>
                <w:rFonts w:ascii="Gothic720 BT" w:hAnsi="Gothic720 BT"/>
                <w:b/>
              </w:rPr>
              <w:t xml:space="preserve">ASUNTO: </w:t>
            </w:r>
            <w:r w:rsidRPr="00464232">
              <w:rPr>
                <w:rFonts w:ascii="Gothic720 BT" w:hAnsi="Gothic720 BT"/>
              </w:rPr>
              <w:t>RECEPCIÓN.</w:t>
            </w:r>
          </w:p>
        </w:tc>
      </w:tr>
    </w:tbl>
    <w:p w:rsidR="00CF30FB" w:rsidRPr="00464232" w:rsidRDefault="00CF30FB" w:rsidP="00CF30FB">
      <w:pPr>
        <w:spacing w:after="0"/>
        <w:jc w:val="both"/>
        <w:rPr>
          <w:rFonts w:ascii="Gothic720 BT" w:hAnsi="Gothic720 BT"/>
        </w:rPr>
      </w:pPr>
    </w:p>
    <w:p w:rsidR="00CF30FB" w:rsidRPr="00464232" w:rsidRDefault="00CF30FB" w:rsidP="00CF30FB">
      <w:pPr>
        <w:spacing w:after="0"/>
        <w:ind w:left="709"/>
        <w:jc w:val="both"/>
        <w:rPr>
          <w:rFonts w:ascii="Gothic720 BT" w:hAnsi="Gothic720 BT" w:cs="Arial"/>
        </w:rPr>
      </w:pPr>
      <w:r w:rsidRPr="00464232">
        <w:rPr>
          <w:rFonts w:ascii="Gothic720 BT" w:hAnsi="Gothic720 BT" w:cs="Arial"/>
        </w:rPr>
        <w:t xml:space="preserve">En Santiago de Querétaro, Querétaro, siendo las once horas del tres de febrero de dos mil veintiuno, en cumplimiento a lo ordenado en el proveído dictado en misma fecha, con fundamento en los artículos 48 fracción II, 50 y 56, fracción II de la Ley de Medios de Impugnación en Materia Electoral del Estado de Querétaro vigente al momento de su tramitación, se </w:t>
      </w:r>
      <w:r w:rsidRPr="00464232">
        <w:rPr>
          <w:rFonts w:ascii="Gothic720 BT" w:hAnsi="Gothic720 BT" w:cs="Arial"/>
          <w:b/>
        </w:rPr>
        <w:t xml:space="preserve">NOTIFICA </w:t>
      </w:r>
      <w:r w:rsidRPr="00464232">
        <w:rPr>
          <w:rFonts w:ascii="Gothic720 BT" w:hAnsi="Gothic720 BT" w:cs="Arial"/>
        </w:rPr>
        <w:t xml:space="preserve">el contenido del proveído de mérito que consta de dos fojas, mediante cédula que se fija en los </w:t>
      </w:r>
      <w:r w:rsidRPr="00464232">
        <w:rPr>
          <w:rFonts w:ascii="Gothic720 BT" w:hAnsi="Gothic720 BT" w:cs="Arial"/>
          <w:b/>
        </w:rPr>
        <w:t>ESTRADOS</w:t>
      </w:r>
      <w:r w:rsidRPr="00464232">
        <w:rPr>
          <w:rFonts w:ascii="Gothic720 BT" w:hAnsi="Gothic720 BT" w:cs="Arial"/>
        </w:rPr>
        <w:t xml:space="preserve"> de este Consejo General de este Instituto Electoral del Estado de Querétaro, anexando copia del mismo. </w:t>
      </w:r>
      <w:r w:rsidRPr="00464232">
        <w:rPr>
          <w:rFonts w:ascii="Gothic720 BT" w:hAnsi="Gothic720 BT" w:cs="Arial"/>
          <w:b/>
        </w:rPr>
        <w:t>CONSTE</w:t>
      </w:r>
      <w:r w:rsidRPr="00464232">
        <w:rPr>
          <w:rFonts w:ascii="Gothic720 BT" w:hAnsi="Gothic720 BT" w:cs="Arial"/>
        </w:rPr>
        <w:t xml:space="preserve">. </w:t>
      </w:r>
    </w:p>
    <w:p w:rsidR="00CF30FB" w:rsidRPr="00464232" w:rsidRDefault="00CF30FB" w:rsidP="00CF30FB">
      <w:pPr>
        <w:spacing w:after="0"/>
        <w:ind w:left="709"/>
        <w:jc w:val="both"/>
        <w:rPr>
          <w:rFonts w:ascii="Gothic720 BT" w:hAnsi="Gothic720 BT" w:cs="Arial"/>
        </w:rPr>
      </w:pPr>
    </w:p>
    <w:p w:rsidR="00CF30FB" w:rsidRPr="00464232" w:rsidRDefault="00CF30FB" w:rsidP="00CF30FB">
      <w:pPr>
        <w:spacing w:after="0"/>
        <w:ind w:left="709"/>
        <w:jc w:val="both"/>
        <w:rPr>
          <w:rFonts w:ascii="Gothic720 BT" w:hAnsi="Gothic720 BT" w:cs="Arial"/>
        </w:rPr>
      </w:pPr>
    </w:p>
    <w:p w:rsidR="00CF30FB" w:rsidRPr="00464232" w:rsidRDefault="00CF30FB" w:rsidP="00CF30FB">
      <w:pPr>
        <w:spacing w:after="0"/>
        <w:jc w:val="both"/>
        <w:rPr>
          <w:rFonts w:ascii="Gothic720 BT" w:hAnsi="Gothic720 BT" w:cs="Arial"/>
        </w:rPr>
      </w:pPr>
    </w:p>
    <w:p w:rsidR="00CF30FB" w:rsidRPr="00464232" w:rsidRDefault="00CF30FB" w:rsidP="00CF30FB">
      <w:pPr>
        <w:spacing w:after="0"/>
        <w:ind w:left="709"/>
        <w:jc w:val="center"/>
        <w:rPr>
          <w:rFonts w:ascii="Gothic720 BT" w:hAnsi="Gothic720 BT" w:cs="Arial"/>
          <w:b/>
        </w:rPr>
      </w:pPr>
      <w:r w:rsidRPr="00464232">
        <w:rPr>
          <w:rFonts w:ascii="Gothic720 BT" w:hAnsi="Gothic720 BT" w:cs="Arial"/>
          <w:b/>
        </w:rPr>
        <w:t>Dr. Juan Rivera Hernández</w:t>
      </w:r>
    </w:p>
    <w:p w:rsidR="00CF30FB" w:rsidRPr="00464232" w:rsidRDefault="00CF30FB" w:rsidP="00CF30FB">
      <w:pPr>
        <w:spacing w:after="0"/>
        <w:ind w:left="709"/>
        <w:jc w:val="center"/>
        <w:rPr>
          <w:rFonts w:ascii="Gothic720 BT" w:hAnsi="Gothic720 BT" w:cs="Arial"/>
        </w:rPr>
      </w:pPr>
      <w:r w:rsidRPr="00464232">
        <w:rPr>
          <w:rFonts w:ascii="Gothic720 BT" w:hAnsi="Gothic720 BT" w:cs="Arial"/>
        </w:rPr>
        <w:t>Director Ejecutivo de Asuntos Jurídicos</w:t>
      </w:r>
    </w:p>
    <w:p w:rsidR="002B52E2" w:rsidRPr="00464232" w:rsidRDefault="002B52E2">
      <w:pPr>
        <w:rPr>
          <w:rFonts w:ascii="Gothic720 BT" w:hAnsi="Gothic720 BT"/>
        </w:rPr>
      </w:pPr>
    </w:p>
    <w:sectPr w:rsidR="002B52E2" w:rsidRPr="00464232" w:rsidSect="00B31DBA">
      <w:pgSz w:w="12240" w:h="15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ED" w:rsidRDefault="000756ED" w:rsidP="00CF30FB">
      <w:pPr>
        <w:spacing w:after="0" w:line="240" w:lineRule="auto"/>
      </w:pPr>
      <w:r>
        <w:separator/>
      </w:r>
    </w:p>
  </w:endnote>
  <w:endnote w:type="continuationSeparator" w:id="0">
    <w:p w:rsidR="000756ED" w:rsidRDefault="000756ED" w:rsidP="00CF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ED" w:rsidRDefault="000756ED" w:rsidP="00CF30FB">
      <w:pPr>
        <w:spacing w:after="0" w:line="240" w:lineRule="auto"/>
      </w:pPr>
      <w:r>
        <w:separator/>
      </w:r>
    </w:p>
  </w:footnote>
  <w:footnote w:type="continuationSeparator" w:id="0">
    <w:p w:rsidR="000756ED" w:rsidRDefault="000756ED" w:rsidP="00CF30FB">
      <w:pPr>
        <w:spacing w:after="0" w:line="240" w:lineRule="auto"/>
      </w:pPr>
      <w:r>
        <w:continuationSeparator/>
      </w:r>
    </w:p>
  </w:footnote>
  <w:footnote w:id="1">
    <w:p w:rsidR="00CF30FB" w:rsidRDefault="00CF30FB" w:rsidP="00CF30FB">
      <w:pPr>
        <w:pStyle w:val="Textonotapie"/>
      </w:pPr>
      <w:r>
        <w:rPr>
          <w:rStyle w:val="Refdenotaalpie"/>
        </w:rPr>
        <w:footnoteRef/>
      </w:r>
      <w:r>
        <w:t xml:space="preserve"> </w:t>
      </w:r>
      <w:r w:rsidRPr="00C922CF">
        <w:rPr>
          <w:sz w:val="16"/>
          <w:szCs w:val="16"/>
        </w:rPr>
        <w:t>En lo sucesivo Ley Electoral</w:t>
      </w:r>
      <w:r w:rsidR="0007669C">
        <w:rPr>
          <w:sz w:val="16"/>
          <w:szCs w:val="16"/>
        </w:rPr>
        <w:t>.</w:t>
      </w:r>
    </w:p>
  </w:footnote>
  <w:footnote w:id="2">
    <w:p w:rsidR="00CF30FB" w:rsidRPr="00657C5D" w:rsidRDefault="00CF30FB" w:rsidP="00CF30FB">
      <w:pPr>
        <w:pBdr>
          <w:top w:val="nil"/>
          <w:left w:val="nil"/>
          <w:bottom w:val="nil"/>
          <w:right w:val="nil"/>
          <w:between w:val="nil"/>
        </w:pBdr>
        <w:spacing w:after="0" w:line="240" w:lineRule="auto"/>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 w:id="3">
    <w:p w:rsidR="00CF30FB" w:rsidRPr="00F85F70" w:rsidRDefault="00CF30FB" w:rsidP="00CF30FB">
      <w:pPr>
        <w:pStyle w:val="Textonotapie"/>
        <w:rPr>
          <w:sz w:val="16"/>
          <w:szCs w:val="16"/>
        </w:rPr>
      </w:pPr>
      <w:r w:rsidRPr="00F85F70">
        <w:rPr>
          <w:rStyle w:val="Refdenotaalpie"/>
          <w:sz w:val="16"/>
          <w:szCs w:val="16"/>
        </w:rPr>
        <w:footnoteRef/>
      </w:r>
      <w:r w:rsidRPr="00F85F70">
        <w:rPr>
          <w:sz w:val="16"/>
          <w:szCs w:val="16"/>
        </w:rPr>
        <w:t xml:space="preserve"> En lo sucesivo Instituto</w:t>
      </w:r>
      <w:r w:rsidR="0007669C">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B1E85"/>
    <w:multiLevelType w:val="hybridMultilevel"/>
    <w:tmpl w:val="F5A46090"/>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FB"/>
    <w:rsid w:val="00016006"/>
    <w:rsid w:val="00042DDC"/>
    <w:rsid w:val="000756ED"/>
    <w:rsid w:val="0007669C"/>
    <w:rsid w:val="002B52E2"/>
    <w:rsid w:val="002F7194"/>
    <w:rsid w:val="00464232"/>
    <w:rsid w:val="0049030B"/>
    <w:rsid w:val="004A2221"/>
    <w:rsid w:val="00725FCE"/>
    <w:rsid w:val="007346EA"/>
    <w:rsid w:val="007E1960"/>
    <w:rsid w:val="00860244"/>
    <w:rsid w:val="00B17F6D"/>
    <w:rsid w:val="00CF30FB"/>
    <w:rsid w:val="00DA1C5B"/>
    <w:rsid w:val="00E26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CF30F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CF30F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CF30F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30FB"/>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CF30FB"/>
    <w:pPr>
      <w:ind w:left="720"/>
      <w:contextualSpacing/>
    </w:pPr>
  </w:style>
  <w:style w:type="character" w:customStyle="1" w:styleId="PrrafodelistaCar">
    <w:name w:val="Párrafo de lista Car"/>
    <w:aliases w:val="CNBV Parrafo1 Car,Párrafo de lista1 Car"/>
    <w:link w:val="Prrafodelista"/>
    <w:uiPriority w:val="34"/>
    <w:qFormat/>
    <w:locked/>
    <w:rsid w:val="00CF30FB"/>
  </w:style>
  <w:style w:type="table" w:styleId="Tablaconcuadrcula">
    <w:name w:val="Table Grid"/>
    <w:basedOn w:val="Tablanormal"/>
    <w:uiPriority w:val="59"/>
    <w:rsid w:val="00CF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CF30F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CF30F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CF30F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30FB"/>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CF30FB"/>
    <w:pPr>
      <w:ind w:left="720"/>
      <w:contextualSpacing/>
    </w:pPr>
  </w:style>
  <w:style w:type="character" w:customStyle="1" w:styleId="PrrafodelistaCar">
    <w:name w:val="Párrafo de lista Car"/>
    <w:aliases w:val="CNBV Parrafo1 Car,Párrafo de lista1 Car"/>
    <w:link w:val="Prrafodelista"/>
    <w:uiPriority w:val="34"/>
    <w:qFormat/>
    <w:locked/>
    <w:rsid w:val="00CF30FB"/>
  </w:style>
  <w:style w:type="table" w:styleId="Tablaconcuadrcula">
    <w:name w:val="Table Grid"/>
    <w:basedOn w:val="Tablanormal"/>
    <w:uiPriority w:val="59"/>
    <w:rsid w:val="00CF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Emanuel.Echeverria</cp:lastModifiedBy>
  <cp:revision>7</cp:revision>
  <cp:lastPrinted>2021-02-03T20:12:00Z</cp:lastPrinted>
  <dcterms:created xsi:type="dcterms:W3CDTF">2021-02-03T18:14:00Z</dcterms:created>
  <dcterms:modified xsi:type="dcterms:W3CDTF">2021-02-03T22:43:00Z</dcterms:modified>
</cp:coreProperties>
</file>