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  <w:r>
        <w:rPr>
          <w:b/>
        </w:rPr>
        <w:t>PROCEDIMIENTO ESPECIAL SANCIONADOR</w:t>
      </w: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  <w:rPr>
          <w:b/>
        </w:rPr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</w:pPr>
      <w:r>
        <w:rPr>
          <w:b/>
        </w:rPr>
        <w:t>EXPEDIENTE:</w:t>
      </w:r>
      <w:r>
        <w:t xml:space="preserve"> IEEQ/PES/001/2020-P.  </w:t>
      </w: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</w:pPr>
    </w:p>
    <w:p w:rsidR="00D16086" w:rsidRDefault="00D16086" w:rsidP="00D16086">
      <w:pPr>
        <w:tabs>
          <w:tab w:val="left" w:pos="5387"/>
        </w:tabs>
        <w:spacing w:after="0" w:line="276" w:lineRule="auto"/>
        <w:ind w:left="4253"/>
        <w:jc w:val="both"/>
      </w:pPr>
      <w:r>
        <w:rPr>
          <w:b/>
        </w:rPr>
        <w:t>ASUNTO:</w:t>
      </w:r>
      <w:r>
        <w:t xml:space="preserve"> REQUERIMIENTO. </w:t>
      </w:r>
    </w:p>
    <w:p w:rsidR="00D16086" w:rsidRDefault="00D16086" w:rsidP="00D16086">
      <w:pPr>
        <w:spacing w:line="276" w:lineRule="auto"/>
        <w:jc w:val="both"/>
      </w:pPr>
    </w:p>
    <w:p w:rsidR="00D16086" w:rsidRDefault="00D16086" w:rsidP="00D16086">
      <w:pPr>
        <w:ind w:left="1276"/>
        <w:jc w:val="both"/>
      </w:pPr>
      <w:r>
        <w:t xml:space="preserve">En Santiago de Querétaro, Querétaro, siendo las catorce horas con diez minutos del siete  de julio de dos mil veinte, en cumplimiento a lo ordenado en el proveído dictado el seis del mismo mes y año, con fundamento en los artículos </w:t>
      </w:r>
      <w:r>
        <w:rPr>
          <w:color w:val="000000"/>
        </w:rPr>
        <w:t>50, fracción II y 52</w:t>
      </w:r>
      <w:r>
        <w:t xml:space="preserve"> de la Ley de Medios de Impugnación en Materia Electoral del Estado de Querétaro, se </w:t>
      </w:r>
      <w:r>
        <w:rPr>
          <w:b/>
        </w:rPr>
        <w:t>NOTIFICA</w:t>
      </w:r>
      <w:r>
        <w:t xml:space="preserve"> el contenido del proveído de mérito que consta dos fojas útiles con texto por un solo lado, mediante cédula que se fija en los </w:t>
      </w:r>
      <w:r>
        <w:rPr>
          <w:b/>
        </w:rPr>
        <w:t>ESTRADOS</w:t>
      </w:r>
      <w:r>
        <w:t xml:space="preserve"> de este Consejo General de este Instituto Electoral del Estado de Querétaro, anexando copia del mismo. </w:t>
      </w:r>
      <w:r>
        <w:rPr>
          <w:b/>
        </w:rPr>
        <w:t>CONSTE.</w:t>
      </w:r>
      <w:r>
        <w:t>------------------------------------------------------------------------------------------------------</w:t>
      </w:r>
    </w:p>
    <w:p w:rsidR="00D16086" w:rsidRDefault="00D16086" w:rsidP="00D16086">
      <w:pPr>
        <w:ind w:left="1276"/>
        <w:jc w:val="both"/>
      </w:pPr>
    </w:p>
    <w:p w:rsidR="00D16086" w:rsidRDefault="00D16086" w:rsidP="00D16086">
      <w:pPr>
        <w:ind w:left="1276"/>
        <w:jc w:val="both"/>
      </w:pPr>
    </w:p>
    <w:p w:rsidR="00D16086" w:rsidRDefault="00D16086" w:rsidP="00D16086">
      <w:pPr>
        <w:ind w:left="1276"/>
        <w:jc w:val="both"/>
      </w:pPr>
    </w:p>
    <w:p w:rsidR="00D16086" w:rsidRDefault="00D16086" w:rsidP="00D16086">
      <w:pPr>
        <w:ind w:left="1276"/>
        <w:jc w:val="center"/>
      </w:pPr>
      <w:r>
        <w:rPr>
          <w:b/>
        </w:rPr>
        <w:t>Dr. Juan Rivera Hernández</w:t>
      </w:r>
    </w:p>
    <w:p w:rsidR="00D16086" w:rsidRDefault="00D16086" w:rsidP="00D16086">
      <w:pPr>
        <w:ind w:left="1276"/>
        <w:jc w:val="center"/>
      </w:pPr>
      <w:r>
        <w:t>Director Ejecutivo de Asuntos Jurídicos</w:t>
      </w: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:rsidR="00D16086" w:rsidRDefault="00D160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5"/>
        <w:gridCol w:w="2899"/>
        <w:gridCol w:w="4414"/>
      </w:tblGrid>
      <w:tr w:rsidR="00037730">
        <w:trPr>
          <w:trHeight w:val="2194"/>
        </w:trPr>
        <w:tc>
          <w:tcPr>
            <w:tcW w:w="1525" w:type="dxa"/>
          </w:tcPr>
          <w:p w:rsidR="00037730" w:rsidRDefault="00037730">
            <w:pPr>
              <w:tabs>
                <w:tab w:val="left" w:pos="5387"/>
              </w:tabs>
              <w:spacing w:after="0" w:line="276" w:lineRule="auto"/>
              <w:jc w:val="both"/>
            </w:pPr>
          </w:p>
        </w:tc>
        <w:tc>
          <w:tcPr>
            <w:tcW w:w="2899" w:type="dxa"/>
          </w:tcPr>
          <w:p w:rsidR="00037730" w:rsidRDefault="00037730">
            <w:pPr>
              <w:tabs>
                <w:tab w:val="left" w:pos="5387"/>
              </w:tabs>
              <w:spacing w:after="0" w:line="276" w:lineRule="auto"/>
              <w:ind w:left="928"/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037730" w:rsidRDefault="00061012">
            <w:pPr>
              <w:tabs>
                <w:tab w:val="left" w:pos="5387"/>
              </w:tabs>
              <w:spacing w:after="0" w:line="276" w:lineRule="auto"/>
              <w:ind w:left="396"/>
              <w:jc w:val="both"/>
              <w:rPr>
                <w:b/>
              </w:rPr>
            </w:pPr>
            <w:r>
              <w:rPr>
                <w:b/>
              </w:rPr>
              <w:t>PROCEDIMIENTO ESPECIAL SANCIONADOR</w:t>
            </w:r>
          </w:p>
          <w:p w:rsidR="00037730" w:rsidRDefault="00037730">
            <w:pPr>
              <w:tabs>
                <w:tab w:val="left" w:pos="5387"/>
              </w:tabs>
              <w:spacing w:after="0" w:line="276" w:lineRule="auto"/>
              <w:ind w:left="396"/>
              <w:jc w:val="both"/>
              <w:rPr>
                <w:b/>
              </w:rPr>
            </w:pPr>
          </w:p>
          <w:p w:rsidR="00037730" w:rsidRDefault="00061012">
            <w:pPr>
              <w:tabs>
                <w:tab w:val="left" w:pos="5387"/>
              </w:tabs>
              <w:spacing w:after="0" w:line="276" w:lineRule="auto"/>
              <w:ind w:left="396"/>
              <w:jc w:val="both"/>
            </w:pPr>
            <w:r>
              <w:rPr>
                <w:b/>
              </w:rPr>
              <w:t>EXPEDIENTE:</w:t>
            </w:r>
            <w:r>
              <w:t xml:space="preserve"> IE</w:t>
            </w:r>
            <w:bookmarkStart w:id="0" w:name="_GoBack"/>
            <w:bookmarkEnd w:id="0"/>
            <w:r>
              <w:t xml:space="preserve">EQ/PES/001/2020-P.  </w:t>
            </w:r>
          </w:p>
          <w:p w:rsidR="00037730" w:rsidRDefault="00037730">
            <w:pPr>
              <w:tabs>
                <w:tab w:val="left" w:pos="5387"/>
              </w:tabs>
              <w:spacing w:after="0" w:line="276" w:lineRule="auto"/>
              <w:ind w:left="396"/>
              <w:jc w:val="both"/>
            </w:pPr>
          </w:p>
          <w:p w:rsidR="00037730" w:rsidRDefault="00061012">
            <w:pPr>
              <w:tabs>
                <w:tab w:val="left" w:pos="5387"/>
              </w:tabs>
              <w:spacing w:after="0" w:line="276" w:lineRule="auto"/>
              <w:ind w:left="396"/>
              <w:jc w:val="both"/>
            </w:pPr>
            <w:r>
              <w:rPr>
                <w:b/>
              </w:rPr>
              <w:t>ASUNTO:</w:t>
            </w:r>
            <w:r>
              <w:t xml:space="preserve"> REQUERIMIENTO. </w:t>
            </w:r>
          </w:p>
          <w:p w:rsidR="00037730" w:rsidRDefault="00037730">
            <w:pPr>
              <w:tabs>
                <w:tab w:val="left" w:pos="5387"/>
              </w:tabs>
              <w:spacing w:after="0" w:line="276" w:lineRule="auto"/>
              <w:jc w:val="both"/>
              <w:rPr>
                <w:b/>
              </w:rPr>
            </w:pPr>
          </w:p>
        </w:tc>
      </w:tr>
    </w:tbl>
    <w:p w:rsidR="00037730" w:rsidRDefault="00061012">
      <w:pPr>
        <w:spacing w:after="0" w:line="276" w:lineRule="auto"/>
        <w:ind w:left="709"/>
        <w:jc w:val="both"/>
      </w:pPr>
      <w:r>
        <w:t xml:space="preserve">Santiago de Querétaro, Querétaro, seis de julio de dos mil veinte. </w:t>
      </w:r>
    </w:p>
    <w:p w:rsidR="00037730" w:rsidRDefault="00037730">
      <w:pPr>
        <w:spacing w:after="0" w:line="276" w:lineRule="auto"/>
        <w:ind w:left="709"/>
        <w:jc w:val="both"/>
        <w:rPr>
          <w:b/>
        </w:rPr>
      </w:pPr>
    </w:p>
    <w:p w:rsidR="00037730" w:rsidRDefault="00061012">
      <w:pPr>
        <w:spacing w:after="0" w:line="276" w:lineRule="auto"/>
        <w:ind w:left="709"/>
        <w:jc w:val="both"/>
      </w:pPr>
      <w:r>
        <w:rPr>
          <w:b/>
        </w:rPr>
        <w:t xml:space="preserve">VISTO </w:t>
      </w:r>
      <w:r>
        <w:t>el acuerdo de radicación y debida integración del expediente, recaído en el expediente TEEQ-PES-1/2020 emitido por el Tribunal Electoral del Estado de Querétaro</w:t>
      </w:r>
      <w:r>
        <w:rPr>
          <w:vertAlign w:val="superscript"/>
        </w:rPr>
        <w:footnoteReference w:id="1"/>
      </w:r>
      <w:r>
        <w:t xml:space="preserve"> el seis de julio de dos mil veinte,</w:t>
      </w:r>
      <w:r>
        <w:rPr>
          <w:color w:val="000000"/>
          <w:vertAlign w:val="superscript"/>
        </w:rPr>
        <w:footnoteReference w:id="2"/>
      </w:r>
      <w:r>
        <w:t xml:space="preserve"> recibido en la Oficialía de Partes del Instituto en esa misma fecha, registrado con folio 0423; con fundamento en los artículos 77, fracción V y 232 de la Ley Electoral del Estado de Querétaro</w:t>
      </w:r>
      <w:r>
        <w:rPr>
          <w:vertAlign w:val="superscript"/>
        </w:rPr>
        <w:footnoteReference w:id="3"/>
      </w:r>
      <w:r>
        <w:t xml:space="preserve">, así como 45, fracción II, inciso d) del Reglamento Interior del Instituto; la Dirección Ejecutiva de Asuntos Jurídicos </w:t>
      </w:r>
      <w:r>
        <w:rPr>
          <w:b/>
        </w:rPr>
        <w:t>ACUERDA:</w:t>
      </w:r>
    </w:p>
    <w:p w:rsidR="00037730" w:rsidRDefault="00037730">
      <w:pPr>
        <w:spacing w:after="0" w:line="276" w:lineRule="auto"/>
        <w:jc w:val="both"/>
        <w:rPr>
          <w:b/>
          <w:color w:val="000000"/>
        </w:rPr>
      </w:pPr>
    </w:p>
    <w:p w:rsidR="00037730" w:rsidRDefault="00061012">
      <w:pPr>
        <w:spacing w:after="0" w:line="276" w:lineRule="auto"/>
        <w:ind w:left="709"/>
        <w:jc w:val="both"/>
      </w:pPr>
      <w:r>
        <w:rPr>
          <w:b/>
          <w:color w:val="000000"/>
        </w:rPr>
        <w:t xml:space="preserve">PRIMERO. Requerimiento. </w:t>
      </w:r>
      <w:r>
        <w:rPr>
          <w:color w:val="000000"/>
        </w:rPr>
        <w:t xml:space="preserve">En virtud de que en el acuerdo de cuenta el Tribunal Electoral solicitó a esta Dirección llevar a cabo las diligencias necesarias para conocer la condición socioeconómica de las personas denunciadas en el presente procedimiento; de conformidad con </w:t>
      </w:r>
      <w:r>
        <w:t>l</w:t>
      </w:r>
      <w:r w:rsidR="00FF59FA">
        <w:t xml:space="preserve">os artículos 77, fracciones V, así como </w:t>
      </w:r>
      <w:r>
        <w:t xml:space="preserve">256, fracción I de la Ley Electoral, el cual establece: </w:t>
      </w:r>
    </w:p>
    <w:p w:rsidR="00037730" w:rsidRDefault="00037730">
      <w:pPr>
        <w:spacing w:after="0" w:line="276" w:lineRule="auto"/>
        <w:ind w:left="709"/>
        <w:jc w:val="both"/>
      </w:pPr>
    </w:p>
    <w:p w:rsidR="00037730" w:rsidRDefault="00061012">
      <w:pPr>
        <w:spacing w:after="0" w:line="276" w:lineRule="auto"/>
        <w:ind w:left="1560" w:right="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Artículo 256. Será competente para resolver sobre el procedimiento especial sancionador, el Tribunal Electoral. Recibido el expediente el Tribunal deberá: </w:t>
      </w:r>
    </w:p>
    <w:p w:rsidR="00037730" w:rsidRDefault="00037730">
      <w:pPr>
        <w:spacing w:after="0" w:line="276" w:lineRule="auto"/>
        <w:ind w:left="1560" w:right="758"/>
        <w:jc w:val="both"/>
        <w:rPr>
          <w:sz w:val="16"/>
          <w:szCs w:val="16"/>
        </w:rPr>
      </w:pPr>
    </w:p>
    <w:p w:rsidR="00037730" w:rsidRDefault="00061012">
      <w:pPr>
        <w:spacing w:after="0" w:line="276" w:lineRule="auto"/>
        <w:ind w:left="1560" w:right="75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I. Admitirlo y verificar el cumplimiento, por parte de la Dirección Ejecutiva de Asuntos Jurídicos, de los requisitos previstos en esta Ley. </w:t>
      </w:r>
    </w:p>
    <w:p w:rsidR="00037730" w:rsidRDefault="00037730">
      <w:pPr>
        <w:spacing w:after="0" w:line="276" w:lineRule="auto"/>
        <w:ind w:left="1560" w:right="758"/>
        <w:jc w:val="both"/>
        <w:rPr>
          <w:sz w:val="16"/>
          <w:szCs w:val="16"/>
        </w:rPr>
      </w:pPr>
    </w:p>
    <w:p w:rsidR="00037730" w:rsidRDefault="00061012">
      <w:pPr>
        <w:spacing w:after="0" w:line="276" w:lineRule="auto"/>
        <w:ind w:left="1560" w:right="758"/>
        <w:jc w:val="both"/>
        <w:rPr>
          <w:sz w:val="16"/>
          <w:szCs w:val="16"/>
        </w:rPr>
      </w:pPr>
      <w:r>
        <w:rPr>
          <w:sz w:val="16"/>
          <w:szCs w:val="16"/>
        </w:rPr>
        <w:t>Previo a su admisión, el Tribunal Electoral tiene el deber de revisar si existen omisiones o deficiencias en su integración o en su tramitación, así como violaciones a las reglas procesales, siempre que sean necesarios para resolver el expediente, y en su caso, por única ocasión ordenará a la Dirección Ejecutiva de Asuntos Jurídicos, las diligencia</w:t>
      </w:r>
      <w:r w:rsidR="00FF59FA">
        <w:rPr>
          <w:sz w:val="16"/>
          <w:szCs w:val="16"/>
        </w:rPr>
        <w:t>s para mejor proveer.</w:t>
      </w:r>
    </w:p>
    <w:p w:rsidR="00037730" w:rsidRDefault="00037730">
      <w:pPr>
        <w:spacing w:after="0" w:line="276" w:lineRule="auto"/>
        <w:ind w:left="709"/>
        <w:jc w:val="both"/>
      </w:pPr>
    </w:p>
    <w:p w:rsidR="00037730" w:rsidRDefault="00061012">
      <w:pPr>
        <w:spacing w:after="0" w:line="276" w:lineRule="auto"/>
        <w:ind w:left="709"/>
        <w:jc w:val="both"/>
      </w:pPr>
      <w:r>
        <w:t>Se ordena solicitar al Ayuntamiento del municipio de Querétaro, gire sus instrucciones a quien corresponda, para que</w:t>
      </w:r>
      <w:r w:rsidR="003647C4">
        <w:t>,</w:t>
      </w:r>
      <w:r>
        <w:t xml:space="preserve"> dentro del plazo de </w:t>
      </w:r>
      <w:r>
        <w:rPr>
          <w:b/>
        </w:rPr>
        <w:t>VEINTICUATRO HORAS</w:t>
      </w:r>
      <w:r>
        <w:t xml:space="preserve">, contadas a partir de que surta efectos la notificación; informe y/o remita la remuneración mensual bruta y neta, así como la totalidad de prestaciones actualizadas a la fecha, y demás información relativa a las condiciones socioeconómicas que obren en sus archivos, respecto a las siguientes personas servidoras públicas: </w:t>
      </w:r>
    </w:p>
    <w:p w:rsidR="00037730" w:rsidRDefault="00037730">
      <w:pPr>
        <w:spacing w:after="0" w:line="276" w:lineRule="auto"/>
        <w:ind w:left="709"/>
        <w:jc w:val="both"/>
        <w:rPr>
          <w:color w:val="000000"/>
        </w:rPr>
      </w:pPr>
    </w:p>
    <w:p w:rsidR="00037730" w:rsidRDefault="0006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425"/>
        <w:jc w:val="both"/>
        <w:rPr>
          <w:color w:val="000000"/>
        </w:rPr>
      </w:pPr>
      <w:r>
        <w:rPr>
          <w:color w:val="000000"/>
        </w:rPr>
        <w:t>Luis Bernardo Nava Guerrero, Presidente Municipal del Ayuntamiento del municipio de Querétaro;</w:t>
      </w:r>
    </w:p>
    <w:p w:rsidR="00037730" w:rsidRDefault="000377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425"/>
        <w:jc w:val="both"/>
        <w:rPr>
          <w:color w:val="000000"/>
        </w:rPr>
      </w:pPr>
    </w:p>
    <w:p w:rsidR="00037730" w:rsidRDefault="0006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425"/>
        <w:jc w:val="both"/>
        <w:rPr>
          <w:color w:val="000000"/>
        </w:rPr>
      </w:pPr>
      <w:r>
        <w:rPr>
          <w:color w:val="000000"/>
        </w:rPr>
        <w:t>Jesús Roberto Franco González, Secretario de Ayuntamiento del municipio de Querétaro; y</w:t>
      </w:r>
    </w:p>
    <w:p w:rsidR="00037730" w:rsidRDefault="000377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425"/>
        <w:jc w:val="both"/>
        <w:rPr>
          <w:color w:val="000000"/>
        </w:rPr>
      </w:pPr>
    </w:p>
    <w:p w:rsidR="00037730" w:rsidRDefault="0006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60" w:hanging="425"/>
        <w:jc w:val="both"/>
        <w:rPr>
          <w:color w:val="000000"/>
        </w:rPr>
      </w:pPr>
      <w:r>
        <w:rPr>
          <w:color w:val="000000"/>
        </w:rPr>
        <w:t xml:space="preserve">Arturo Torres Gutiérrez, Secretario de Desarrollo Humano y Social del municipio de Querétaro.                                                          </w:t>
      </w:r>
    </w:p>
    <w:p w:rsidR="00037730" w:rsidRDefault="00037730">
      <w:pPr>
        <w:spacing w:after="0" w:line="276" w:lineRule="auto"/>
        <w:ind w:left="709"/>
        <w:jc w:val="both"/>
        <w:rPr>
          <w:b/>
          <w:color w:val="000000"/>
        </w:rPr>
      </w:pPr>
    </w:p>
    <w:p w:rsidR="00037730" w:rsidRDefault="00037730">
      <w:pPr>
        <w:spacing w:after="0" w:line="276" w:lineRule="auto"/>
        <w:jc w:val="both"/>
        <w:rPr>
          <w:b/>
          <w:color w:val="000000"/>
        </w:rPr>
      </w:pPr>
    </w:p>
    <w:p w:rsidR="00037730" w:rsidRDefault="00061012">
      <w:pPr>
        <w:spacing w:after="0" w:line="276" w:lineRule="auto"/>
        <w:ind w:left="709"/>
        <w:jc w:val="both"/>
      </w:pPr>
      <w:r>
        <w:rPr>
          <w:b/>
        </w:rPr>
        <w:t>SEGUNDO. Informe.</w:t>
      </w:r>
      <w:r>
        <w:t xml:space="preserve"> Informe al Tribunal Electoral del Estado de Querétaro, este proveído para los efectos conducentes. </w:t>
      </w:r>
    </w:p>
    <w:p w:rsidR="00037730" w:rsidRDefault="00037730">
      <w:pPr>
        <w:spacing w:after="0" w:line="276" w:lineRule="auto"/>
        <w:ind w:left="709"/>
        <w:jc w:val="both"/>
        <w:rPr>
          <w:b/>
          <w:color w:val="000000"/>
        </w:rPr>
      </w:pPr>
    </w:p>
    <w:p w:rsidR="00037730" w:rsidRDefault="00061012">
      <w:pPr>
        <w:spacing w:after="0" w:line="276" w:lineRule="auto"/>
        <w:ind w:left="709"/>
        <w:jc w:val="both"/>
        <w:rPr>
          <w:color w:val="000000"/>
        </w:rPr>
      </w:pPr>
      <w:r>
        <w:rPr>
          <w:b/>
          <w:color w:val="000000"/>
        </w:rPr>
        <w:t xml:space="preserve">Notifíquese por estrados a las partes con fundamento en los artículos 3 de la Ley Electoral; 50, fracción II y 52 de la Ley de Medios de Impugnación en Materia Electoral del Estado de Querétaro. </w:t>
      </w:r>
    </w:p>
    <w:p w:rsidR="00037730" w:rsidRDefault="00037730">
      <w:pPr>
        <w:spacing w:after="0" w:line="276" w:lineRule="auto"/>
        <w:jc w:val="both"/>
      </w:pPr>
    </w:p>
    <w:p w:rsidR="00037730" w:rsidRDefault="00037730">
      <w:pPr>
        <w:spacing w:after="0" w:line="276" w:lineRule="auto"/>
        <w:jc w:val="both"/>
      </w:pPr>
    </w:p>
    <w:p w:rsidR="00037730" w:rsidRDefault="00061012">
      <w:pPr>
        <w:spacing w:after="0" w:line="276" w:lineRule="auto"/>
        <w:jc w:val="center"/>
      </w:pPr>
      <w:r>
        <w:t>Dr. Juan Rivera Hernández</w:t>
      </w:r>
    </w:p>
    <w:p w:rsidR="00037730" w:rsidRDefault="00061012">
      <w:pPr>
        <w:spacing w:after="0" w:line="276" w:lineRule="auto"/>
        <w:jc w:val="center"/>
        <w:rPr>
          <w:b/>
        </w:rPr>
      </w:pPr>
      <w:r>
        <w:rPr>
          <w:b/>
        </w:rPr>
        <w:t>Director Ejecutivo de Asuntos Jurídicos</w:t>
      </w:r>
    </w:p>
    <w:p w:rsidR="00037730" w:rsidRDefault="00037730">
      <w:pPr>
        <w:spacing w:after="0" w:line="276" w:lineRule="auto"/>
        <w:jc w:val="center"/>
        <w:rPr>
          <w:b/>
        </w:rPr>
      </w:pPr>
    </w:p>
    <w:p w:rsidR="00037730" w:rsidRDefault="00037730">
      <w:pPr>
        <w:spacing w:after="0" w:line="276" w:lineRule="auto"/>
        <w:jc w:val="center"/>
        <w:rPr>
          <w:b/>
        </w:rPr>
      </w:pPr>
    </w:p>
    <w:p w:rsidR="00037730" w:rsidRDefault="00037730">
      <w:pPr>
        <w:spacing w:after="0" w:line="276" w:lineRule="auto"/>
        <w:jc w:val="center"/>
      </w:pPr>
    </w:p>
    <w:p w:rsidR="00037730" w:rsidRDefault="00037730">
      <w:pPr>
        <w:spacing w:after="0" w:line="276" w:lineRule="auto"/>
        <w:jc w:val="both"/>
        <w:rPr>
          <w:b/>
        </w:rPr>
      </w:pPr>
    </w:p>
    <w:p w:rsidR="00037730" w:rsidRDefault="00037730">
      <w:pPr>
        <w:spacing w:after="0" w:line="276" w:lineRule="auto"/>
        <w:ind w:left="709"/>
        <w:jc w:val="both"/>
        <w:rPr>
          <w:b/>
        </w:rPr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p w:rsidR="00037730" w:rsidRDefault="00037730">
      <w:pPr>
        <w:spacing w:line="276" w:lineRule="auto"/>
        <w:jc w:val="both"/>
      </w:pPr>
    </w:p>
    <w:sectPr w:rsidR="00037730"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ED" w:rsidRDefault="001F2DED">
      <w:pPr>
        <w:spacing w:after="0" w:line="240" w:lineRule="auto"/>
      </w:pPr>
      <w:r>
        <w:separator/>
      </w:r>
    </w:p>
  </w:endnote>
  <w:endnote w:type="continuationSeparator" w:id="0">
    <w:p w:rsidR="001F2DED" w:rsidRDefault="001F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30" w:rsidRDefault="00061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6086">
      <w:rPr>
        <w:noProof/>
        <w:color w:val="000000"/>
      </w:rPr>
      <w:t>3</w:t>
    </w:r>
    <w:r>
      <w:rPr>
        <w:color w:val="000000"/>
      </w:rPr>
      <w:fldChar w:fldCharType="end"/>
    </w:r>
  </w:p>
  <w:p w:rsidR="00037730" w:rsidRDefault="000377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ED" w:rsidRDefault="001F2DED">
      <w:pPr>
        <w:spacing w:after="0" w:line="240" w:lineRule="auto"/>
      </w:pPr>
      <w:r>
        <w:separator/>
      </w:r>
    </w:p>
  </w:footnote>
  <w:footnote w:type="continuationSeparator" w:id="0">
    <w:p w:rsidR="001F2DED" w:rsidRDefault="001F2DED">
      <w:pPr>
        <w:spacing w:after="0" w:line="240" w:lineRule="auto"/>
      </w:pPr>
      <w:r>
        <w:continuationSeparator/>
      </w:r>
    </w:p>
  </w:footnote>
  <w:footnote w:id="1">
    <w:p w:rsidR="00037730" w:rsidRDefault="00061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En adelante Tribunal Electoral. </w:t>
      </w:r>
    </w:p>
  </w:footnote>
  <w:footnote w:id="2">
    <w:p w:rsidR="00037730" w:rsidRDefault="00061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En lo sucesivo las fechas que se mencionan corresponden al año dos mil veinte, salvo mención diversa.</w:t>
      </w:r>
    </w:p>
  </w:footnote>
  <w:footnote w:id="3">
    <w:p w:rsidR="00037730" w:rsidRDefault="00061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En adelante Ley Electoral.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7540"/>
    <w:multiLevelType w:val="multilevel"/>
    <w:tmpl w:val="B9F8D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30"/>
    <w:rsid w:val="00037730"/>
    <w:rsid w:val="00061012"/>
    <w:rsid w:val="001F2DED"/>
    <w:rsid w:val="003647C4"/>
    <w:rsid w:val="00D16086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F68B"/>
  <w15:docId w15:val="{0E3BCEBD-817F-4058-B294-E0BC7BF1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thic720 BT" w:eastAsia="Gothic720 BT" w:hAnsi="Gothic720 BT" w:cs="Gothic720 BT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Carmen.Resendiz</dc:creator>
  <cp:lastModifiedBy>Carmen.Resendiz</cp:lastModifiedBy>
  <cp:revision>2</cp:revision>
  <dcterms:created xsi:type="dcterms:W3CDTF">2020-07-07T22:02:00Z</dcterms:created>
  <dcterms:modified xsi:type="dcterms:W3CDTF">2020-07-07T22:02:00Z</dcterms:modified>
</cp:coreProperties>
</file>