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0"/>
        <w:tblW w:w="8755" w:type="dxa"/>
        <w:tblInd w:w="0" w:type="dxa"/>
        <w:tblLayout w:type="fixed"/>
        <w:tblLook w:val="0400" w:firstRow="0" w:lastRow="0" w:firstColumn="0" w:lastColumn="0" w:noHBand="0" w:noVBand="1"/>
      </w:tblPr>
      <w:tblGrid>
        <w:gridCol w:w="2943"/>
        <w:gridCol w:w="5812"/>
      </w:tblGrid>
      <w:tr w:rsidR="00DF7EE7" w:rsidTr="00AE50D0">
        <w:tc>
          <w:tcPr>
            <w:tcW w:w="2943" w:type="dxa"/>
            <w:shd w:val="clear" w:color="auto" w:fill="auto"/>
          </w:tcPr>
          <w:p w:rsidR="00DF7EE7" w:rsidRDefault="00DF7EE7" w:rsidP="00AE50D0">
            <w:pPr>
              <w:spacing w:line="276" w:lineRule="auto"/>
              <w:ind w:left="1276"/>
              <w:jc w:val="both"/>
              <w:rPr>
                <w:rFonts w:ascii="Gothic720 BT" w:eastAsia="Gothic720 BT" w:hAnsi="Gothic720 BT" w:cs="Gothic720 BT"/>
                <w:sz w:val="22"/>
                <w:szCs w:val="22"/>
              </w:rPr>
            </w:pPr>
          </w:p>
        </w:tc>
        <w:tc>
          <w:tcPr>
            <w:tcW w:w="5812" w:type="dxa"/>
            <w:shd w:val="clear" w:color="auto" w:fill="auto"/>
          </w:tcPr>
          <w:p w:rsidR="00DF7EE7" w:rsidRDefault="00DF7EE7" w:rsidP="00AE50D0">
            <w:pPr>
              <w:spacing w:line="276" w:lineRule="auto"/>
              <w:ind w:left="601"/>
              <w:jc w:val="both"/>
              <w:rPr>
                <w:rFonts w:ascii="Gothic720 BT" w:eastAsia="Gothic720 BT" w:hAnsi="Gothic720 BT" w:cs="Gothic720 BT"/>
                <w:b/>
                <w:sz w:val="22"/>
                <w:szCs w:val="22"/>
              </w:rPr>
            </w:pPr>
            <w:r>
              <w:rPr>
                <w:rFonts w:ascii="Gothic720 BT" w:eastAsia="Gothic720 BT" w:hAnsi="Gothic720 BT" w:cs="Gothic720 BT"/>
                <w:b/>
                <w:sz w:val="22"/>
                <w:szCs w:val="22"/>
              </w:rPr>
              <w:t>PROCEDIMIENTO ORDINARIO SANCIONADOR</w:t>
            </w:r>
          </w:p>
          <w:p w:rsidR="00DF7EE7" w:rsidRDefault="00DF7EE7" w:rsidP="00AE50D0">
            <w:pPr>
              <w:spacing w:line="276" w:lineRule="auto"/>
              <w:ind w:left="601"/>
              <w:jc w:val="both"/>
              <w:rPr>
                <w:rFonts w:ascii="Gothic720 BT" w:eastAsia="Gothic720 BT" w:hAnsi="Gothic720 BT" w:cs="Gothic720 BT"/>
                <w:sz w:val="22"/>
                <w:szCs w:val="22"/>
              </w:rPr>
            </w:pPr>
          </w:p>
          <w:p w:rsidR="00DF7EE7" w:rsidRDefault="00DF7EE7" w:rsidP="00AE50D0">
            <w:pPr>
              <w:spacing w:line="276" w:lineRule="auto"/>
              <w:ind w:left="601"/>
              <w:jc w:val="both"/>
              <w:rPr>
                <w:rFonts w:ascii="Gothic720 BT" w:eastAsia="Gothic720 BT" w:hAnsi="Gothic720 BT" w:cs="Gothic720 BT"/>
                <w:sz w:val="22"/>
                <w:szCs w:val="22"/>
              </w:rPr>
            </w:pPr>
            <w:r>
              <w:rPr>
                <w:rFonts w:ascii="Gothic720 BT" w:eastAsia="Gothic720 BT" w:hAnsi="Gothic720 BT" w:cs="Gothic720 BT"/>
                <w:b/>
                <w:sz w:val="22"/>
                <w:szCs w:val="22"/>
              </w:rPr>
              <w:t>EXPEDIENTE:</w:t>
            </w:r>
            <w:r>
              <w:rPr>
                <w:rFonts w:ascii="Gothic720 BT" w:eastAsia="Gothic720 BT" w:hAnsi="Gothic720 BT" w:cs="Gothic720 BT"/>
                <w:sz w:val="22"/>
                <w:szCs w:val="22"/>
              </w:rPr>
              <w:t xml:space="preserve"> IEEQ/POS/006/2020-P Y ACUMULADOS. </w:t>
            </w:r>
          </w:p>
          <w:p w:rsidR="00DF7EE7" w:rsidRDefault="00DF7EE7" w:rsidP="00AE50D0">
            <w:pPr>
              <w:spacing w:line="276" w:lineRule="auto"/>
              <w:ind w:left="601"/>
              <w:jc w:val="both"/>
              <w:rPr>
                <w:rFonts w:ascii="Gothic720 BT" w:eastAsia="Gothic720 BT" w:hAnsi="Gothic720 BT" w:cs="Gothic720 BT"/>
                <w:sz w:val="22"/>
                <w:szCs w:val="22"/>
              </w:rPr>
            </w:pPr>
          </w:p>
          <w:p w:rsidR="00DF7EE7" w:rsidRDefault="00DF7EE7" w:rsidP="00AE50D0">
            <w:pPr>
              <w:spacing w:line="276" w:lineRule="auto"/>
              <w:ind w:left="601"/>
              <w:jc w:val="both"/>
              <w:rPr>
                <w:rFonts w:ascii="Gothic720 BT" w:eastAsia="Gothic720 BT" w:hAnsi="Gothic720 BT" w:cs="Gothic720 BT"/>
                <w:sz w:val="22"/>
                <w:szCs w:val="22"/>
              </w:rPr>
            </w:pPr>
            <w:r>
              <w:rPr>
                <w:rFonts w:ascii="Gothic720 BT" w:eastAsia="Gothic720 BT" w:hAnsi="Gothic720 BT" w:cs="Gothic720 BT"/>
                <w:b/>
                <w:sz w:val="22"/>
                <w:szCs w:val="22"/>
              </w:rPr>
              <w:t>ASUNTO:</w:t>
            </w:r>
            <w:r>
              <w:rPr>
                <w:rFonts w:ascii="Gothic720 BT" w:eastAsia="Gothic720 BT" w:hAnsi="Gothic720 BT" w:cs="Gothic720 BT"/>
                <w:sz w:val="22"/>
                <w:szCs w:val="22"/>
              </w:rPr>
              <w:t xml:space="preserve"> AMPLIACIÓN PARA EMITIR RESOLUCIÓN.</w:t>
            </w:r>
          </w:p>
        </w:tc>
      </w:tr>
    </w:tbl>
    <w:p w:rsidR="00DF7EE7" w:rsidRDefault="00DF7EE7" w:rsidP="00DF7EE7">
      <w:pPr>
        <w:ind w:left="1276"/>
        <w:jc w:val="both"/>
        <w:rPr>
          <w:rFonts w:ascii="Gothic720 BT" w:eastAsia="Gothic720 BT" w:hAnsi="Gothic720 BT" w:cs="Gothic720 BT"/>
          <w:sz w:val="22"/>
          <w:szCs w:val="22"/>
        </w:rPr>
      </w:pPr>
    </w:p>
    <w:p w:rsidR="00DF7EE7" w:rsidRDefault="00DF7EE7" w:rsidP="00DF7EE7">
      <w:pPr>
        <w:ind w:left="1276"/>
        <w:jc w:val="both"/>
        <w:rPr>
          <w:rFonts w:ascii="Gothic720 BT" w:eastAsia="Gothic720 BT" w:hAnsi="Gothic720 BT" w:cs="Gothic720 BT"/>
          <w:sz w:val="22"/>
          <w:szCs w:val="22"/>
        </w:rPr>
      </w:pPr>
      <w:r>
        <w:rPr>
          <w:rFonts w:ascii="Gothic720 BT" w:eastAsia="Gothic720 BT" w:hAnsi="Gothic720 BT" w:cs="Gothic720 BT"/>
          <w:sz w:val="22"/>
          <w:szCs w:val="22"/>
        </w:rPr>
        <w:t xml:space="preserve">En Santiago de Querétaro, Querétaro, siendo las ocho horas con diez minutos del veinticinco de junio de dos mil veinte, en cumplimiento a lo ordenado en el proveído dictado en la fecha en que se actúa, con fundamento en los artículos 48 fracción II, 50 y 56, fracción III de la Ley de Medios de Impugnación en Materia Electoral del Estado de Querétaro (publicada en el periódico oficial del Estado de Querétaro “La Sombra de Arteaga” el primero de junio de dos mil diecisiete), se </w:t>
      </w:r>
      <w:r>
        <w:rPr>
          <w:rFonts w:ascii="Gothic720 BT" w:eastAsia="Gothic720 BT" w:hAnsi="Gothic720 BT" w:cs="Gothic720 BT"/>
          <w:b/>
          <w:sz w:val="22"/>
          <w:szCs w:val="22"/>
        </w:rPr>
        <w:t>NOTIFICA</w:t>
      </w:r>
      <w:r>
        <w:rPr>
          <w:rFonts w:ascii="Gothic720 BT" w:eastAsia="Gothic720 BT" w:hAnsi="Gothic720 BT" w:cs="Gothic720 BT"/>
          <w:sz w:val="22"/>
          <w:szCs w:val="22"/>
        </w:rPr>
        <w:t xml:space="preserve"> el contenido del proveído de mérito que consta de una foja útil con texto por un solo lado, mediante cédula que se fija en los </w:t>
      </w:r>
      <w:r>
        <w:rPr>
          <w:rFonts w:ascii="Gothic720 BT" w:eastAsia="Gothic720 BT" w:hAnsi="Gothic720 BT" w:cs="Gothic720 BT"/>
          <w:b/>
          <w:sz w:val="22"/>
          <w:szCs w:val="22"/>
        </w:rPr>
        <w:t>ESTRADOS</w:t>
      </w:r>
      <w:r>
        <w:rPr>
          <w:rFonts w:ascii="Gothic720 BT" w:eastAsia="Gothic720 BT" w:hAnsi="Gothic720 BT" w:cs="Gothic720 BT"/>
          <w:sz w:val="22"/>
          <w:szCs w:val="22"/>
        </w:rPr>
        <w:t xml:space="preserve"> de este Consejo General de este Instituto Electoral del Estado de Querétaro, anexando copia del mismo. </w:t>
      </w:r>
      <w:proofErr w:type="gramStart"/>
      <w:r>
        <w:rPr>
          <w:rFonts w:ascii="Gothic720 BT" w:eastAsia="Gothic720 BT" w:hAnsi="Gothic720 BT" w:cs="Gothic720 BT"/>
          <w:b/>
          <w:sz w:val="22"/>
          <w:szCs w:val="22"/>
        </w:rPr>
        <w:t>CONSTE.</w:t>
      </w:r>
      <w:r>
        <w:rPr>
          <w:rFonts w:ascii="Gothic720 BT" w:eastAsia="Gothic720 BT" w:hAnsi="Gothic720 BT" w:cs="Gothic720 BT"/>
        </w:rPr>
        <w:t>------------------------------------------------------------------------------------------------------------------</w:t>
      </w:r>
      <w:proofErr w:type="gramEnd"/>
    </w:p>
    <w:p w:rsidR="00DF7EE7" w:rsidRDefault="00DF7EE7" w:rsidP="00DF7EE7">
      <w:pPr>
        <w:ind w:left="1276"/>
        <w:jc w:val="both"/>
        <w:rPr>
          <w:rFonts w:ascii="Gothic720 BT" w:eastAsia="Gothic720 BT" w:hAnsi="Gothic720 BT" w:cs="Gothic720 BT"/>
          <w:sz w:val="22"/>
          <w:szCs w:val="22"/>
        </w:rPr>
      </w:pPr>
    </w:p>
    <w:p w:rsidR="00DF7EE7" w:rsidRDefault="00DF7EE7" w:rsidP="00DF7EE7">
      <w:pPr>
        <w:ind w:left="1276"/>
        <w:jc w:val="both"/>
        <w:rPr>
          <w:rFonts w:ascii="Gothic720 BT" w:eastAsia="Gothic720 BT" w:hAnsi="Gothic720 BT" w:cs="Gothic720 BT"/>
          <w:sz w:val="22"/>
          <w:szCs w:val="22"/>
        </w:rPr>
      </w:pPr>
    </w:p>
    <w:p w:rsidR="00DF7EE7" w:rsidRDefault="00DF7EE7" w:rsidP="00DF7EE7">
      <w:pPr>
        <w:ind w:left="1276"/>
        <w:jc w:val="both"/>
        <w:rPr>
          <w:rFonts w:ascii="Gothic720 BT" w:eastAsia="Gothic720 BT" w:hAnsi="Gothic720 BT" w:cs="Gothic720 BT"/>
          <w:sz w:val="22"/>
          <w:szCs w:val="22"/>
        </w:rPr>
      </w:pPr>
    </w:p>
    <w:p w:rsidR="00DF7EE7" w:rsidRDefault="00DF7EE7" w:rsidP="00DF7EE7">
      <w:pPr>
        <w:ind w:left="1276"/>
        <w:jc w:val="center"/>
        <w:rPr>
          <w:rFonts w:ascii="Gothic720 BT" w:eastAsia="Gothic720 BT" w:hAnsi="Gothic720 BT" w:cs="Gothic720 BT"/>
          <w:sz w:val="22"/>
          <w:szCs w:val="22"/>
        </w:rPr>
      </w:pPr>
      <w:r>
        <w:rPr>
          <w:rFonts w:ascii="Gothic720 BT" w:eastAsia="Gothic720 BT" w:hAnsi="Gothic720 BT" w:cs="Gothic720 BT"/>
          <w:b/>
          <w:sz w:val="22"/>
          <w:szCs w:val="22"/>
        </w:rPr>
        <w:t>Dr. Juan Rivera Hernández</w:t>
      </w:r>
    </w:p>
    <w:p w:rsidR="00DF7EE7" w:rsidRDefault="00DF7EE7" w:rsidP="00DF7EE7">
      <w:pPr>
        <w:ind w:left="1276"/>
        <w:jc w:val="center"/>
        <w:rPr>
          <w:rFonts w:ascii="Gothic720 BT" w:eastAsia="Gothic720 BT" w:hAnsi="Gothic720 BT" w:cs="Gothic720 BT"/>
          <w:sz w:val="22"/>
          <w:szCs w:val="22"/>
        </w:rPr>
      </w:pPr>
      <w:r>
        <w:rPr>
          <w:rFonts w:ascii="Gothic720 BT" w:eastAsia="Gothic720 BT" w:hAnsi="Gothic720 BT" w:cs="Gothic720 BT"/>
          <w:sz w:val="22"/>
          <w:szCs w:val="22"/>
        </w:rPr>
        <w:t>Director Ejecutivo de Asuntos Jurídicos</w:t>
      </w: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p w:rsidR="00DF7EE7" w:rsidRDefault="00DF7EE7">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755" w:type="dxa"/>
        <w:tblInd w:w="0" w:type="dxa"/>
        <w:tblLayout w:type="fixed"/>
        <w:tblLook w:val="0000" w:firstRow="0" w:lastRow="0" w:firstColumn="0" w:lastColumn="0" w:noHBand="0" w:noVBand="0"/>
      </w:tblPr>
      <w:tblGrid>
        <w:gridCol w:w="2943"/>
        <w:gridCol w:w="5812"/>
      </w:tblGrid>
      <w:tr w:rsidR="003D0108">
        <w:tc>
          <w:tcPr>
            <w:tcW w:w="2943" w:type="dxa"/>
          </w:tcPr>
          <w:p w:rsidR="003D0108" w:rsidRDefault="003D0108">
            <w:pPr>
              <w:spacing w:line="276" w:lineRule="auto"/>
              <w:ind w:left="1276"/>
              <w:jc w:val="both"/>
              <w:rPr>
                <w:rFonts w:ascii="Gothic720 BT" w:eastAsia="Gothic720 BT" w:hAnsi="Gothic720 BT" w:cs="Gothic720 BT"/>
                <w:color w:val="000000"/>
                <w:sz w:val="22"/>
                <w:szCs w:val="22"/>
              </w:rPr>
            </w:pPr>
          </w:p>
        </w:tc>
        <w:tc>
          <w:tcPr>
            <w:tcW w:w="5812" w:type="dxa"/>
          </w:tcPr>
          <w:p w:rsidR="003D0108" w:rsidRDefault="00363E6A">
            <w:pPr>
              <w:spacing w:line="276" w:lineRule="auto"/>
              <w:ind w:left="601"/>
              <w:jc w:val="both"/>
              <w:rPr>
                <w:rFonts w:ascii="Gothic720 BT" w:eastAsia="Gothic720 BT" w:hAnsi="Gothic720 BT" w:cs="Gothic720 BT"/>
                <w:b/>
                <w:color w:val="000000"/>
                <w:sz w:val="22"/>
                <w:szCs w:val="22"/>
              </w:rPr>
            </w:pPr>
            <w:r>
              <w:rPr>
                <w:rFonts w:ascii="Gothic720 BT" w:eastAsia="Gothic720 BT" w:hAnsi="Gothic720 BT" w:cs="Gothic720 BT"/>
                <w:b/>
                <w:color w:val="000000"/>
                <w:sz w:val="22"/>
                <w:szCs w:val="22"/>
              </w:rPr>
              <w:t>PROCEDIMIENTO ORDINARIO SANCIONADOR</w:t>
            </w:r>
          </w:p>
          <w:p w:rsidR="003D0108" w:rsidRDefault="003D0108">
            <w:pPr>
              <w:spacing w:line="276" w:lineRule="auto"/>
              <w:ind w:left="601"/>
              <w:jc w:val="both"/>
              <w:rPr>
                <w:rFonts w:ascii="Gothic720 BT" w:eastAsia="Gothic720 BT" w:hAnsi="Gothic720 BT" w:cs="Gothic720 BT"/>
                <w:color w:val="000000"/>
                <w:sz w:val="10"/>
                <w:szCs w:val="10"/>
              </w:rPr>
            </w:pPr>
          </w:p>
          <w:p w:rsidR="003D0108" w:rsidRDefault="00363E6A">
            <w:pPr>
              <w:spacing w:line="276" w:lineRule="auto"/>
              <w:ind w:left="601"/>
              <w:jc w:val="both"/>
              <w:rPr>
                <w:rFonts w:ascii="Gothic720 BT" w:eastAsia="Gothic720 BT" w:hAnsi="Gothic720 BT" w:cs="Gothic720 BT"/>
                <w:color w:val="000000"/>
                <w:sz w:val="22"/>
                <w:szCs w:val="22"/>
              </w:rPr>
            </w:pPr>
            <w:r>
              <w:rPr>
                <w:rFonts w:ascii="Gothic720 BT" w:eastAsia="Gothic720 BT" w:hAnsi="Gothic720 BT" w:cs="Gothic720 BT"/>
                <w:b/>
                <w:color w:val="000000"/>
                <w:sz w:val="22"/>
                <w:szCs w:val="22"/>
              </w:rPr>
              <w:t xml:space="preserve">EXPEDIENTE: </w:t>
            </w:r>
            <w:r>
              <w:rPr>
                <w:rFonts w:ascii="Gothic720 BT" w:eastAsia="Gothic720 BT" w:hAnsi="Gothic720 BT" w:cs="Gothic720 BT"/>
                <w:sz w:val="22"/>
                <w:szCs w:val="22"/>
              </w:rPr>
              <w:t>IEEQ/POS/006/2020-P Y ACUMULADOS.</w:t>
            </w:r>
          </w:p>
          <w:p w:rsidR="003D0108" w:rsidRDefault="003D0108">
            <w:pPr>
              <w:spacing w:line="276" w:lineRule="auto"/>
              <w:ind w:left="601"/>
              <w:jc w:val="both"/>
              <w:rPr>
                <w:rFonts w:ascii="Gothic720 BT" w:eastAsia="Gothic720 BT" w:hAnsi="Gothic720 BT" w:cs="Gothic720 BT"/>
                <w:color w:val="000000"/>
                <w:sz w:val="10"/>
                <w:szCs w:val="10"/>
              </w:rPr>
            </w:pPr>
          </w:p>
          <w:p w:rsidR="003D0108" w:rsidRDefault="00363E6A">
            <w:pPr>
              <w:spacing w:line="276" w:lineRule="auto"/>
              <w:ind w:left="601"/>
              <w:jc w:val="both"/>
              <w:rPr>
                <w:rFonts w:ascii="Gothic720 BT" w:eastAsia="Gothic720 BT" w:hAnsi="Gothic720 BT" w:cs="Gothic720 BT"/>
                <w:sz w:val="22"/>
                <w:szCs w:val="22"/>
              </w:rPr>
            </w:pPr>
            <w:r>
              <w:rPr>
                <w:rFonts w:ascii="Gothic720 BT" w:eastAsia="Gothic720 BT" w:hAnsi="Gothic720 BT" w:cs="Gothic720 BT"/>
                <w:b/>
                <w:color w:val="000000"/>
                <w:sz w:val="22"/>
                <w:szCs w:val="22"/>
              </w:rPr>
              <w:t>ASUNTO:</w:t>
            </w:r>
            <w:r>
              <w:rPr>
                <w:rFonts w:ascii="Gothic720 BT" w:eastAsia="Gothic720 BT" w:hAnsi="Gothic720 BT" w:cs="Gothic720 BT"/>
                <w:sz w:val="22"/>
                <w:szCs w:val="22"/>
              </w:rPr>
              <w:t xml:space="preserve"> AMPLIACIÓN PARA EMITIR RESOLUCIÓN.</w:t>
            </w:r>
          </w:p>
          <w:p w:rsidR="003D0108" w:rsidRDefault="003D0108">
            <w:pPr>
              <w:spacing w:line="276" w:lineRule="auto"/>
              <w:ind w:left="1276"/>
              <w:jc w:val="both"/>
              <w:rPr>
                <w:rFonts w:ascii="Gothic720 BT" w:eastAsia="Gothic720 BT" w:hAnsi="Gothic720 BT" w:cs="Gothic720 BT"/>
                <w:b/>
                <w:color w:val="000000"/>
                <w:sz w:val="10"/>
                <w:szCs w:val="10"/>
              </w:rPr>
            </w:pPr>
          </w:p>
        </w:tc>
      </w:tr>
    </w:tbl>
    <w:p w:rsidR="003D0108" w:rsidRDefault="00363E6A">
      <w:pPr>
        <w:spacing w:line="276" w:lineRule="auto"/>
        <w:ind w:left="1276"/>
        <w:jc w:val="both"/>
        <w:rPr>
          <w:rFonts w:ascii="Gothic720 BT" w:eastAsia="Gothic720 BT" w:hAnsi="Gothic720 BT" w:cs="Gothic720 BT"/>
          <w:color w:val="000000"/>
          <w:sz w:val="22"/>
          <w:szCs w:val="22"/>
        </w:rPr>
      </w:pPr>
      <w:r>
        <w:rPr>
          <w:rFonts w:ascii="Gothic720 BT" w:eastAsia="Gothic720 BT" w:hAnsi="Gothic720 BT" w:cs="Gothic720 BT"/>
          <w:color w:val="000000"/>
          <w:sz w:val="22"/>
          <w:szCs w:val="22"/>
        </w:rPr>
        <w:t xml:space="preserve">Santiago de Querétaro, Querétaro, veinticinco de junio de dos mil veinte. </w:t>
      </w:r>
    </w:p>
    <w:p w:rsidR="003D0108" w:rsidRDefault="003D0108">
      <w:pPr>
        <w:spacing w:line="276" w:lineRule="auto"/>
        <w:ind w:left="1276"/>
        <w:jc w:val="both"/>
        <w:rPr>
          <w:rFonts w:ascii="Gothic720 BT" w:eastAsia="Gothic720 BT" w:hAnsi="Gothic720 BT" w:cs="Gothic720 BT"/>
          <w:b/>
          <w:color w:val="000000"/>
          <w:sz w:val="10"/>
          <w:szCs w:val="10"/>
        </w:rPr>
      </w:pPr>
    </w:p>
    <w:p w:rsidR="003D0108" w:rsidRDefault="00363E6A">
      <w:pPr>
        <w:spacing w:line="276" w:lineRule="auto"/>
        <w:ind w:left="1276"/>
        <w:jc w:val="both"/>
        <w:rPr>
          <w:rFonts w:ascii="Gothic720 BT" w:eastAsia="Gothic720 BT" w:hAnsi="Gothic720 BT" w:cs="Gothic720 BT"/>
          <w:sz w:val="22"/>
          <w:szCs w:val="22"/>
        </w:rPr>
      </w:pPr>
      <w:r>
        <w:rPr>
          <w:rFonts w:ascii="Gothic720 BT" w:eastAsia="Gothic720 BT" w:hAnsi="Gothic720 BT" w:cs="Gothic720 BT"/>
          <w:b/>
          <w:color w:val="000000"/>
          <w:sz w:val="22"/>
          <w:szCs w:val="22"/>
        </w:rPr>
        <w:t>VISTO</w:t>
      </w:r>
      <w:r>
        <w:rPr>
          <w:rFonts w:ascii="Gothic720 BT" w:eastAsia="Gothic720 BT" w:hAnsi="Gothic720 BT" w:cs="Gothic720 BT"/>
          <w:color w:val="000000"/>
          <w:sz w:val="22"/>
          <w:szCs w:val="22"/>
        </w:rPr>
        <w:t xml:space="preserve"> el estado procesal del presente expediente, c</w:t>
      </w:r>
      <w:r>
        <w:rPr>
          <w:rFonts w:ascii="Gothic720 BT" w:eastAsia="Gothic720 BT" w:hAnsi="Gothic720 BT" w:cs="Gothic720 BT"/>
          <w:sz w:val="22"/>
          <w:szCs w:val="22"/>
        </w:rPr>
        <w:t>on fundamento en los artículos 77, fracciones V y XI, 222, fracción I, 223, párrafo primero de la Ley Electoral del Estado de Querétaro (publicada en el periódico oficial del Estado de Querétaro “La Sombra de Arteaga” el primero de junio de dos mil diecisiete); tercero transitorio de la Ley Electoral del Estado de Querétaro (publicada en el periódico oficial del Estado de Querétaro “La Sombra de Arteaga” el primero de junio de dos mil veinte)</w:t>
      </w:r>
      <w:r>
        <w:rPr>
          <w:rFonts w:ascii="Gothic720 BT" w:eastAsia="Gothic720 BT" w:hAnsi="Gothic720 BT" w:cs="Gothic720 BT"/>
          <w:color w:val="000000"/>
          <w:sz w:val="22"/>
          <w:szCs w:val="22"/>
        </w:rPr>
        <w:t xml:space="preserve">; así como 45, fracción II, inciso d) del Reglamento Interior del Instituto; la Dirección Ejecutiva de Asuntos Jurídicos </w:t>
      </w:r>
      <w:r>
        <w:rPr>
          <w:rFonts w:ascii="Gothic720 BT" w:eastAsia="Gothic720 BT" w:hAnsi="Gothic720 BT" w:cs="Gothic720 BT"/>
          <w:b/>
          <w:color w:val="000000"/>
          <w:sz w:val="22"/>
          <w:szCs w:val="22"/>
        </w:rPr>
        <w:t>ACUERDA</w:t>
      </w:r>
      <w:r>
        <w:rPr>
          <w:rFonts w:ascii="Gothic720 BT" w:eastAsia="Gothic720 BT" w:hAnsi="Gothic720 BT" w:cs="Gothic720 BT"/>
          <w:color w:val="000000"/>
          <w:sz w:val="22"/>
          <w:szCs w:val="22"/>
        </w:rPr>
        <w:t>:</w:t>
      </w:r>
    </w:p>
    <w:p w:rsidR="003D0108" w:rsidRDefault="003D0108">
      <w:pPr>
        <w:spacing w:line="276" w:lineRule="auto"/>
        <w:ind w:left="1276"/>
        <w:jc w:val="both"/>
        <w:rPr>
          <w:rFonts w:ascii="Gothic720 BT" w:eastAsia="Gothic720 BT" w:hAnsi="Gothic720 BT" w:cs="Gothic720 BT"/>
          <w:color w:val="000000"/>
          <w:sz w:val="10"/>
          <w:szCs w:val="10"/>
        </w:rPr>
      </w:pPr>
    </w:p>
    <w:p w:rsidR="003D0108" w:rsidRDefault="00363E6A">
      <w:pPr>
        <w:spacing w:line="276" w:lineRule="auto"/>
        <w:ind w:left="1276"/>
        <w:jc w:val="both"/>
        <w:rPr>
          <w:rFonts w:ascii="Gothic720 BT" w:eastAsia="Gothic720 BT" w:hAnsi="Gothic720 BT" w:cs="Gothic720 BT"/>
          <w:color w:val="000000"/>
          <w:sz w:val="22"/>
          <w:szCs w:val="22"/>
        </w:rPr>
      </w:pPr>
      <w:r>
        <w:rPr>
          <w:rFonts w:ascii="Gothic720 BT" w:eastAsia="Gothic720 BT" w:hAnsi="Gothic720 BT" w:cs="Gothic720 BT"/>
          <w:b/>
          <w:color w:val="000000"/>
          <w:sz w:val="22"/>
          <w:szCs w:val="22"/>
        </w:rPr>
        <w:t xml:space="preserve">ÚNICO. Ampliación de plazos. </w:t>
      </w:r>
      <w:r>
        <w:rPr>
          <w:rFonts w:ascii="Gothic720 BT" w:eastAsia="Gothic720 BT" w:hAnsi="Gothic720 BT" w:cs="Gothic720 BT"/>
          <w:sz w:val="22"/>
          <w:szCs w:val="22"/>
        </w:rPr>
        <w:t>De conformidad con el artículo 228 de la Ley Electoral,</w:t>
      </w:r>
      <w:r>
        <w:rPr>
          <w:sz w:val="22"/>
          <w:szCs w:val="22"/>
        </w:rPr>
        <w:t xml:space="preserve"> </w:t>
      </w:r>
      <w:r>
        <w:rPr>
          <w:rFonts w:ascii="Gothic720 BT" w:eastAsia="Gothic720 BT" w:hAnsi="Gothic720 BT" w:cs="Gothic720 BT"/>
          <w:sz w:val="22"/>
          <w:szCs w:val="22"/>
        </w:rPr>
        <w:t>se amplía el plazo de diez días previsto en el citado artículo para emitir la resolución correspondiente.</w:t>
      </w:r>
    </w:p>
    <w:p w:rsidR="003D0108" w:rsidRDefault="003D0108">
      <w:pPr>
        <w:spacing w:line="276" w:lineRule="auto"/>
        <w:ind w:left="1276"/>
        <w:jc w:val="both"/>
        <w:rPr>
          <w:rFonts w:ascii="Gothic720 BT" w:eastAsia="Gothic720 BT" w:hAnsi="Gothic720 BT" w:cs="Gothic720 BT"/>
          <w:color w:val="000000"/>
          <w:sz w:val="10"/>
          <w:szCs w:val="10"/>
        </w:rPr>
      </w:pPr>
    </w:p>
    <w:p w:rsidR="003D0108" w:rsidRDefault="00363E6A">
      <w:pPr>
        <w:spacing w:line="276" w:lineRule="auto"/>
        <w:ind w:left="1276"/>
        <w:jc w:val="both"/>
        <w:rPr>
          <w:rFonts w:ascii="Gothic720 BT" w:eastAsia="Gothic720 BT" w:hAnsi="Gothic720 BT" w:cs="Gothic720 BT"/>
          <w:b/>
          <w:sz w:val="22"/>
          <w:szCs w:val="22"/>
        </w:rPr>
      </w:pPr>
      <w:r>
        <w:rPr>
          <w:rFonts w:ascii="Gothic720 BT" w:eastAsia="Gothic720 BT" w:hAnsi="Gothic720 BT" w:cs="Gothic720 BT"/>
          <w:b/>
          <w:sz w:val="22"/>
          <w:szCs w:val="22"/>
        </w:rPr>
        <w:t xml:space="preserve">Notifíquese por estrados, con fundamento en los artículos 48, fracción II, 50 y 56, fracción III de la Ley de Medios. </w:t>
      </w:r>
    </w:p>
    <w:p w:rsidR="003D0108" w:rsidRDefault="003D0108">
      <w:pPr>
        <w:ind w:left="1276"/>
        <w:jc w:val="both"/>
        <w:rPr>
          <w:rFonts w:ascii="Gothic720 BT" w:eastAsia="Gothic720 BT" w:hAnsi="Gothic720 BT" w:cs="Gothic720 BT"/>
          <w:sz w:val="10"/>
          <w:szCs w:val="10"/>
        </w:rPr>
      </w:pPr>
    </w:p>
    <w:p w:rsidR="003D0108" w:rsidRDefault="00363E6A">
      <w:pPr>
        <w:spacing w:line="276" w:lineRule="auto"/>
        <w:ind w:left="1276"/>
        <w:jc w:val="both"/>
        <w:rPr>
          <w:rFonts w:ascii="Gothic720 BT" w:eastAsia="Gothic720 BT" w:hAnsi="Gothic720 BT" w:cs="Gothic720 BT"/>
          <w:sz w:val="22"/>
          <w:szCs w:val="22"/>
        </w:rPr>
      </w:pPr>
      <w:r>
        <w:rPr>
          <w:rFonts w:ascii="Gothic720 BT" w:eastAsia="Gothic720 BT" w:hAnsi="Gothic720 BT" w:cs="Gothic720 BT"/>
          <w:sz w:val="22"/>
          <w:szCs w:val="22"/>
        </w:rPr>
        <w:t xml:space="preserve">Así lo </w:t>
      </w:r>
      <w:r>
        <w:rPr>
          <w:rFonts w:ascii="Gothic720 BT" w:eastAsia="Gothic720 BT" w:hAnsi="Gothic720 BT" w:cs="Gothic720 BT"/>
          <w:color w:val="000000"/>
          <w:sz w:val="22"/>
          <w:szCs w:val="22"/>
        </w:rPr>
        <w:t>proveyó</w:t>
      </w:r>
      <w:r>
        <w:rPr>
          <w:rFonts w:ascii="Gothic720 BT" w:eastAsia="Gothic720 BT" w:hAnsi="Gothic720 BT" w:cs="Gothic720 BT"/>
          <w:sz w:val="22"/>
          <w:szCs w:val="22"/>
        </w:rPr>
        <w:t xml:space="preserve"> y firmó el Director Ejecutivo de Asuntos Jurídicos del Instituto Electoral del Estado de Querétaro, quien autoriza. </w:t>
      </w:r>
      <w:r>
        <w:rPr>
          <w:rFonts w:ascii="Gothic720 BT" w:eastAsia="Gothic720 BT" w:hAnsi="Gothic720 BT" w:cs="Gothic720 BT"/>
          <w:b/>
          <w:sz w:val="22"/>
          <w:szCs w:val="22"/>
        </w:rPr>
        <w:t>CONSTE</w:t>
      </w:r>
      <w:r>
        <w:rPr>
          <w:rFonts w:ascii="Gothic720 BT" w:eastAsia="Gothic720 BT" w:hAnsi="Gothic720 BT" w:cs="Gothic720 BT"/>
          <w:sz w:val="22"/>
          <w:szCs w:val="22"/>
        </w:rPr>
        <w:t xml:space="preserve">.  </w:t>
      </w:r>
    </w:p>
    <w:p w:rsidR="003D0108" w:rsidRDefault="003D0108">
      <w:pPr>
        <w:ind w:left="1276"/>
        <w:jc w:val="both"/>
        <w:rPr>
          <w:rFonts w:ascii="Gothic720 BT" w:eastAsia="Gothic720 BT" w:hAnsi="Gothic720 BT" w:cs="Gothic720 BT"/>
          <w:sz w:val="22"/>
          <w:szCs w:val="22"/>
        </w:rPr>
      </w:pPr>
    </w:p>
    <w:p w:rsidR="003D0108" w:rsidRDefault="003D0108">
      <w:pPr>
        <w:ind w:left="1276"/>
        <w:jc w:val="both"/>
        <w:rPr>
          <w:rFonts w:ascii="Gothic720 BT" w:eastAsia="Gothic720 BT" w:hAnsi="Gothic720 BT" w:cs="Gothic720 BT"/>
          <w:sz w:val="22"/>
          <w:szCs w:val="22"/>
        </w:rPr>
      </w:pPr>
    </w:p>
    <w:p w:rsidR="003D0108" w:rsidRDefault="00363E6A">
      <w:pPr>
        <w:ind w:left="1276"/>
        <w:jc w:val="center"/>
        <w:rPr>
          <w:rFonts w:ascii="Gothic720 BT" w:eastAsia="Gothic720 BT" w:hAnsi="Gothic720 BT" w:cs="Gothic720 BT"/>
          <w:sz w:val="22"/>
          <w:szCs w:val="22"/>
        </w:rPr>
      </w:pPr>
      <w:r>
        <w:rPr>
          <w:rFonts w:ascii="Gothic720 BT" w:eastAsia="Gothic720 BT" w:hAnsi="Gothic720 BT" w:cs="Gothic720 BT"/>
          <w:b/>
          <w:sz w:val="22"/>
          <w:szCs w:val="22"/>
        </w:rPr>
        <w:t>Dr. Juan Rivera Hernández</w:t>
      </w:r>
    </w:p>
    <w:p w:rsidR="003D0108" w:rsidRDefault="00363E6A">
      <w:pPr>
        <w:ind w:left="1276"/>
        <w:jc w:val="center"/>
        <w:rPr>
          <w:rFonts w:ascii="Gothic720 BT" w:eastAsia="Gothic720 BT" w:hAnsi="Gothic720 BT" w:cs="Gothic720 BT"/>
          <w:b/>
          <w:sz w:val="22"/>
          <w:szCs w:val="22"/>
        </w:rPr>
      </w:pPr>
      <w:bookmarkStart w:id="1" w:name="_gjdgxs" w:colFirst="0" w:colLast="0"/>
      <w:bookmarkEnd w:id="1"/>
      <w:r>
        <w:rPr>
          <w:rFonts w:ascii="Gothic720 BT" w:eastAsia="Gothic720 BT" w:hAnsi="Gothic720 BT" w:cs="Gothic720 BT"/>
          <w:sz w:val="22"/>
          <w:szCs w:val="22"/>
        </w:rPr>
        <w:t>Director Ejecutivo de Asuntos Jurídicos</w:t>
      </w: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p w:rsidR="003D0108" w:rsidRDefault="003D0108">
      <w:pPr>
        <w:spacing w:line="276" w:lineRule="auto"/>
        <w:ind w:left="1276"/>
        <w:jc w:val="both"/>
        <w:rPr>
          <w:rFonts w:ascii="Gothic720 BT" w:eastAsia="Gothic720 BT" w:hAnsi="Gothic720 BT" w:cs="Gothic720 BT"/>
          <w:color w:val="000000"/>
          <w:sz w:val="22"/>
          <w:szCs w:val="22"/>
        </w:rPr>
      </w:pPr>
    </w:p>
    <w:sectPr w:rsidR="003D0108">
      <w:pgSz w:w="12240" w:h="15840"/>
      <w:pgMar w:top="1843" w:right="1701"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08"/>
    <w:rsid w:val="00363E6A"/>
    <w:rsid w:val="003D0108"/>
    <w:rsid w:val="00DF7E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0332"/>
  <w15:docId w15:val="{A81FC72F-D127-40B6-A0EE-21A33F6C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Carmen.Resendiz</dc:creator>
  <cp:lastModifiedBy>Carmen.Resendiz</cp:lastModifiedBy>
  <cp:revision>2</cp:revision>
  <dcterms:created xsi:type="dcterms:W3CDTF">2020-07-07T21:55:00Z</dcterms:created>
  <dcterms:modified xsi:type="dcterms:W3CDTF">2020-07-07T21:55:00Z</dcterms:modified>
</cp:coreProperties>
</file>