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260"/>
      </w:tblGrid>
      <w:tr w:rsidR="007F4E85" w:rsidRPr="006E2876" w:rsidTr="004649D6">
        <w:tc>
          <w:tcPr>
            <w:tcW w:w="3085" w:type="dxa"/>
          </w:tcPr>
          <w:p w:rsidR="007F4E85" w:rsidRPr="006E2876" w:rsidRDefault="007F4E85" w:rsidP="004649D6">
            <w:pPr>
              <w:spacing w:line="276" w:lineRule="auto"/>
              <w:jc w:val="both"/>
              <w:rPr>
                <w:sz w:val="21"/>
                <w:szCs w:val="21"/>
              </w:rPr>
            </w:pPr>
          </w:p>
        </w:tc>
        <w:tc>
          <w:tcPr>
            <w:tcW w:w="5260" w:type="dxa"/>
          </w:tcPr>
          <w:p w:rsidR="007F4E85" w:rsidRPr="006E2876" w:rsidRDefault="007F4E85" w:rsidP="004649D6">
            <w:pPr>
              <w:tabs>
                <w:tab w:val="left" w:pos="5387"/>
              </w:tabs>
              <w:spacing w:after="0" w:line="276" w:lineRule="auto"/>
              <w:jc w:val="both"/>
              <w:rPr>
                <w:b/>
                <w:sz w:val="21"/>
                <w:szCs w:val="21"/>
              </w:rPr>
            </w:pPr>
            <w:r w:rsidRPr="006E2876">
              <w:rPr>
                <w:b/>
                <w:sz w:val="21"/>
                <w:szCs w:val="21"/>
              </w:rPr>
              <w:t>PROCEDIMIENTO ESPECIAL SANCIONADOR</w:t>
            </w:r>
          </w:p>
          <w:p w:rsidR="007F4E85" w:rsidRPr="006E2876" w:rsidRDefault="007F4E85" w:rsidP="004649D6">
            <w:pPr>
              <w:tabs>
                <w:tab w:val="left" w:pos="5387"/>
              </w:tabs>
              <w:spacing w:after="0" w:line="276" w:lineRule="auto"/>
              <w:jc w:val="both"/>
              <w:rPr>
                <w:b/>
                <w:sz w:val="21"/>
                <w:szCs w:val="21"/>
              </w:rPr>
            </w:pPr>
          </w:p>
          <w:p w:rsidR="007F4E85" w:rsidRPr="006E2876" w:rsidRDefault="007F4E85" w:rsidP="004649D6">
            <w:pPr>
              <w:tabs>
                <w:tab w:val="left" w:pos="5387"/>
              </w:tabs>
              <w:spacing w:after="0" w:line="276" w:lineRule="auto"/>
              <w:jc w:val="both"/>
              <w:rPr>
                <w:rFonts w:cs="Arial"/>
                <w:sz w:val="21"/>
                <w:szCs w:val="21"/>
                <w:lang w:eastAsia="es-ES"/>
              </w:rPr>
            </w:pPr>
            <w:r w:rsidRPr="006E2876">
              <w:rPr>
                <w:b/>
                <w:sz w:val="21"/>
                <w:szCs w:val="21"/>
              </w:rPr>
              <w:t>EXPEDIENTE:</w:t>
            </w:r>
            <w:r w:rsidRPr="006E2876">
              <w:rPr>
                <w:sz w:val="21"/>
                <w:szCs w:val="21"/>
              </w:rPr>
              <w:t xml:space="preserve"> </w:t>
            </w:r>
            <w:r w:rsidRPr="006E2876">
              <w:rPr>
                <w:rFonts w:cs="Arial"/>
                <w:sz w:val="21"/>
                <w:szCs w:val="21"/>
                <w:lang w:eastAsia="es-ES"/>
              </w:rPr>
              <w:t>IEEQ/PES/013/2020-P.</w:t>
            </w:r>
          </w:p>
          <w:p w:rsidR="007F4E85" w:rsidRPr="006E2876" w:rsidRDefault="007F4E85" w:rsidP="004649D6">
            <w:pPr>
              <w:spacing w:after="0"/>
              <w:jc w:val="both"/>
              <w:rPr>
                <w:rFonts w:cs="Arial"/>
                <w:b/>
                <w:sz w:val="21"/>
                <w:szCs w:val="21"/>
                <w:lang w:eastAsia="es-ES"/>
              </w:rPr>
            </w:pPr>
          </w:p>
          <w:p w:rsidR="007F4E85" w:rsidRPr="006E2876" w:rsidRDefault="007F4E85" w:rsidP="004649D6">
            <w:pPr>
              <w:tabs>
                <w:tab w:val="left" w:pos="5387"/>
              </w:tabs>
              <w:spacing w:after="0" w:line="276" w:lineRule="auto"/>
              <w:jc w:val="both"/>
              <w:rPr>
                <w:sz w:val="21"/>
                <w:szCs w:val="21"/>
              </w:rPr>
            </w:pPr>
            <w:r w:rsidRPr="006E2876">
              <w:rPr>
                <w:b/>
                <w:sz w:val="21"/>
                <w:szCs w:val="21"/>
              </w:rPr>
              <w:t>DENUNCIANTE</w:t>
            </w:r>
            <w:r w:rsidRPr="006E2876">
              <w:rPr>
                <w:rFonts w:cs="Arial"/>
                <w:b/>
                <w:sz w:val="21"/>
                <w:szCs w:val="21"/>
                <w:lang w:eastAsia="es-ES"/>
              </w:rPr>
              <w:t xml:space="preserve">: </w:t>
            </w:r>
            <w:r w:rsidRPr="006E2876">
              <w:rPr>
                <w:sz w:val="21"/>
                <w:szCs w:val="21"/>
              </w:rPr>
              <w:t>PEDRO MISAEL FLORES LARA, POR PROPIO DERECHO.</w:t>
            </w:r>
          </w:p>
          <w:p w:rsidR="007F4E85" w:rsidRPr="006E2876" w:rsidRDefault="007F4E85" w:rsidP="004649D6">
            <w:pPr>
              <w:spacing w:after="0"/>
              <w:jc w:val="both"/>
              <w:rPr>
                <w:sz w:val="21"/>
                <w:szCs w:val="21"/>
              </w:rPr>
            </w:pPr>
          </w:p>
          <w:p w:rsidR="007F4E85" w:rsidRPr="006E2876" w:rsidRDefault="007F4E85" w:rsidP="004649D6">
            <w:pPr>
              <w:tabs>
                <w:tab w:val="left" w:pos="5387"/>
              </w:tabs>
              <w:spacing w:after="0" w:line="276" w:lineRule="auto"/>
              <w:jc w:val="both"/>
              <w:rPr>
                <w:rFonts w:cs="Arial"/>
                <w:sz w:val="21"/>
                <w:szCs w:val="21"/>
                <w:lang w:eastAsia="es-ES"/>
              </w:rPr>
            </w:pPr>
            <w:r w:rsidRPr="006E2876">
              <w:rPr>
                <w:b/>
                <w:sz w:val="21"/>
                <w:szCs w:val="21"/>
              </w:rPr>
              <w:t xml:space="preserve">DENUNCIADOS: </w:t>
            </w:r>
            <w:r w:rsidRPr="006E2876">
              <w:rPr>
                <w:rFonts w:cs="Arial"/>
                <w:sz w:val="21"/>
                <w:szCs w:val="21"/>
                <w:lang w:eastAsia="es-ES"/>
              </w:rPr>
              <w:t>JUAN JOSÉ JIMÉNEZ YÁÑEZ, SENADOR DE LA REPÚBLICA, Y PARTIDO POLÍTICO MORENA</w:t>
            </w:r>
            <w:r w:rsidRPr="006E2876">
              <w:rPr>
                <w:sz w:val="21"/>
                <w:szCs w:val="21"/>
              </w:rPr>
              <w:t>.</w:t>
            </w:r>
          </w:p>
          <w:p w:rsidR="007F4E85" w:rsidRPr="006E2876" w:rsidRDefault="007F4E85" w:rsidP="004649D6">
            <w:pPr>
              <w:spacing w:after="0" w:line="276" w:lineRule="auto"/>
              <w:jc w:val="both"/>
              <w:rPr>
                <w:b/>
                <w:sz w:val="21"/>
                <w:szCs w:val="21"/>
              </w:rPr>
            </w:pPr>
          </w:p>
          <w:p w:rsidR="007F4E85" w:rsidRPr="006E2876" w:rsidRDefault="007F4E85" w:rsidP="007F4E85">
            <w:pPr>
              <w:spacing w:after="0" w:line="276" w:lineRule="auto"/>
              <w:jc w:val="both"/>
              <w:rPr>
                <w:sz w:val="21"/>
                <w:szCs w:val="21"/>
              </w:rPr>
            </w:pPr>
            <w:r w:rsidRPr="006E2876">
              <w:rPr>
                <w:b/>
                <w:sz w:val="21"/>
                <w:szCs w:val="21"/>
              </w:rPr>
              <w:t xml:space="preserve">ASUNTO: </w:t>
            </w:r>
            <w:r w:rsidRPr="006E2876">
              <w:rPr>
                <w:sz w:val="21"/>
                <w:szCs w:val="21"/>
              </w:rPr>
              <w:t>RECEPCIÓN Y VISTA.</w:t>
            </w:r>
          </w:p>
        </w:tc>
      </w:tr>
    </w:tbl>
    <w:p w:rsidR="007F4E85" w:rsidRPr="006E2876" w:rsidRDefault="007F4E85" w:rsidP="007F4E85">
      <w:pPr>
        <w:spacing w:after="0" w:line="276" w:lineRule="auto"/>
        <w:ind w:left="709"/>
        <w:jc w:val="both"/>
        <w:rPr>
          <w:sz w:val="21"/>
          <w:szCs w:val="21"/>
        </w:rPr>
      </w:pPr>
    </w:p>
    <w:p w:rsidR="007F4E85" w:rsidRPr="006E2876" w:rsidRDefault="007F4E85" w:rsidP="007F4E85">
      <w:pPr>
        <w:spacing w:after="0" w:line="276" w:lineRule="auto"/>
        <w:ind w:left="709"/>
        <w:jc w:val="both"/>
        <w:rPr>
          <w:sz w:val="21"/>
          <w:szCs w:val="21"/>
        </w:rPr>
      </w:pPr>
      <w:r w:rsidRPr="006E2876">
        <w:rPr>
          <w:sz w:val="21"/>
          <w:szCs w:val="21"/>
        </w:rPr>
        <w:t>Santiago de Querétaro, Querétaro, uno de enero de dos mil veintiuno.</w:t>
      </w:r>
    </w:p>
    <w:p w:rsidR="007F4E85" w:rsidRPr="006E2876" w:rsidRDefault="007F4E85" w:rsidP="007F4E85">
      <w:pPr>
        <w:spacing w:after="0" w:line="276" w:lineRule="auto"/>
        <w:ind w:left="709"/>
        <w:jc w:val="both"/>
        <w:rPr>
          <w:b/>
          <w:sz w:val="21"/>
          <w:szCs w:val="21"/>
        </w:rPr>
      </w:pPr>
    </w:p>
    <w:p w:rsidR="007F4E85" w:rsidRPr="006E2876" w:rsidRDefault="007F4E85" w:rsidP="007F4E85">
      <w:pPr>
        <w:spacing w:after="0" w:line="276" w:lineRule="auto"/>
        <w:ind w:left="709"/>
        <w:jc w:val="both"/>
        <w:rPr>
          <w:rFonts w:cs="Arial"/>
          <w:sz w:val="21"/>
          <w:szCs w:val="21"/>
          <w:lang w:eastAsia="es-ES"/>
        </w:rPr>
      </w:pPr>
      <w:r w:rsidRPr="006E2876">
        <w:rPr>
          <w:b/>
          <w:sz w:val="21"/>
          <w:szCs w:val="21"/>
        </w:rPr>
        <w:t xml:space="preserve">VISTO </w:t>
      </w:r>
      <w:r w:rsidRPr="006E2876">
        <w:rPr>
          <w:sz w:val="21"/>
          <w:szCs w:val="21"/>
        </w:rPr>
        <w:t xml:space="preserve">el oficio COE/018/2020, mediante el cual se remite acta de Oficialía Electoral, </w:t>
      </w:r>
      <w:r w:rsidRPr="006E2876">
        <w:rPr>
          <w:rFonts w:cs="Arial"/>
          <w:sz w:val="21"/>
          <w:szCs w:val="21"/>
          <w:lang w:eastAsia="es-ES"/>
        </w:rPr>
        <w:t>recibido el treinta y uno de diciembre de dos mil veinte en la Dirección Ejecutiva</w:t>
      </w:r>
      <w:r w:rsidRPr="006E2876">
        <w:rPr>
          <w:sz w:val="21"/>
          <w:szCs w:val="21"/>
        </w:rPr>
        <w:t xml:space="preserve"> de Asuntos Jurídicos</w:t>
      </w:r>
      <w:r w:rsidRPr="006E2876">
        <w:rPr>
          <w:rStyle w:val="Refdenotaalpie"/>
          <w:sz w:val="21"/>
          <w:szCs w:val="21"/>
        </w:rPr>
        <w:footnoteReference w:id="1"/>
      </w:r>
      <w:r w:rsidRPr="006E2876">
        <w:rPr>
          <w:rFonts w:cs="Arial"/>
          <w:sz w:val="21"/>
          <w:szCs w:val="21"/>
          <w:lang w:eastAsia="es-ES"/>
        </w:rPr>
        <w:t xml:space="preserve">. </w:t>
      </w:r>
      <w:r w:rsidRPr="006E2876">
        <w:rPr>
          <w:sz w:val="21"/>
          <w:szCs w:val="21"/>
        </w:rPr>
        <w:t>Con fundamento en los artículos 77, fracción V de la Ley Electoral del Estado de Querétaro,</w:t>
      </w:r>
      <w:r w:rsidRPr="006E2876">
        <w:rPr>
          <w:rStyle w:val="Refdenotaalpie"/>
          <w:sz w:val="21"/>
          <w:szCs w:val="21"/>
        </w:rPr>
        <w:footnoteReference w:id="2"/>
      </w:r>
      <w:r w:rsidRPr="006E2876">
        <w:rPr>
          <w:sz w:val="21"/>
          <w:szCs w:val="21"/>
        </w:rPr>
        <w:t xml:space="preserve"> </w:t>
      </w:r>
      <w:r w:rsidRPr="006E2876">
        <w:rPr>
          <w:rFonts w:cs="Arial"/>
          <w:sz w:val="21"/>
          <w:szCs w:val="21"/>
        </w:rPr>
        <w:t>así como 44, fracción II, inciso d) del Reglamento Interior del Instituto Electoral del Estado de Querétaro</w:t>
      </w:r>
      <w:r w:rsidRPr="006E2876">
        <w:rPr>
          <w:rStyle w:val="Refdenotaalpie"/>
          <w:rFonts w:cs="Arial"/>
          <w:sz w:val="21"/>
          <w:szCs w:val="21"/>
        </w:rPr>
        <w:footnoteReference w:id="3"/>
      </w:r>
      <w:r w:rsidRPr="006E2876">
        <w:rPr>
          <w:sz w:val="21"/>
          <w:szCs w:val="21"/>
        </w:rPr>
        <w:t xml:space="preserve">; la Dirección Ejecutiva </w:t>
      </w:r>
      <w:r w:rsidRPr="006E2876">
        <w:rPr>
          <w:b/>
          <w:sz w:val="21"/>
          <w:szCs w:val="21"/>
        </w:rPr>
        <w:t>ACUERDA:</w:t>
      </w:r>
    </w:p>
    <w:p w:rsidR="007F4E85" w:rsidRPr="006E2876" w:rsidRDefault="007F4E85" w:rsidP="007F4E85">
      <w:pPr>
        <w:tabs>
          <w:tab w:val="left" w:pos="2512"/>
        </w:tabs>
        <w:spacing w:after="0" w:line="276" w:lineRule="auto"/>
        <w:ind w:left="709"/>
        <w:jc w:val="both"/>
        <w:rPr>
          <w:b/>
          <w:sz w:val="21"/>
          <w:szCs w:val="21"/>
        </w:rPr>
      </w:pPr>
    </w:p>
    <w:p w:rsidR="007F4E85" w:rsidRPr="006E2876" w:rsidRDefault="007F4E85" w:rsidP="007F4E85">
      <w:pPr>
        <w:spacing w:after="0" w:line="276" w:lineRule="auto"/>
        <w:ind w:left="709"/>
        <w:jc w:val="both"/>
        <w:rPr>
          <w:sz w:val="21"/>
          <w:szCs w:val="21"/>
        </w:rPr>
      </w:pPr>
      <w:r w:rsidRPr="006E2876">
        <w:rPr>
          <w:b/>
          <w:sz w:val="21"/>
          <w:szCs w:val="21"/>
        </w:rPr>
        <w:t xml:space="preserve">PRIMERO. Recepción. </w:t>
      </w:r>
      <w:r w:rsidRPr="006E2876">
        <w:rPr>
          <w:sz w:val="21"/>
          <w:szCs w:val="21"/>
        </w:rPr>
        <w:t xml:space="preserve">Se tiene por recibida la documentación de cuenta, consistente en: </w:t>
      </w:r>
    </w:p>
    <w:p w:rsidR="007F4E85" w:rsidRPr="006E2876" w:rsidRDefault="007F4E85" w:rsidP="007F4E85">
      <w:pPr>
        <w:pStyle w:val="Prrafodelista"/>
        <w:spacing w:line="276" w:lineRule="auto"/>
        <w:ind w:left="1069"/>
        <w:jc w:val="both"/>
        <w:rPr>
          <w:rFonts w:ascii="Gothic720 BT" w:hAnsi="Gothic720 BT"/>
          <w:sz w:val="21"/>
          <w:szCs w:val="21"/>
        </w:rPr>
      </w:pPr>
    </w:p>
    <w:p w:rsidR="007F4E85" w:rsidRPr="006E2876" w:rsidRDefault="007F4E85" w:rsidP="007F4E85">
      <w:pPr>
        <w:pStyle w:val="Prrafodelista"/>
        <w:numPr>
          <w:ilvl w:val="0"/>
          <w:numId w:val="1"/>
        </w:numPr>
        <w:spacing w:line="276" w:lineRule="auto"/>
        <w:jc w:val="both"/>
        <w:rPr>
          <w:rFonts w:ascii="Gothic720 BT" w:hAnsi="Gothic720 BT"/>
          <w:sz w:val="21"/>
          <w:szCs w:val="21"/>
        </w:rPr>
      </w:pPr>
      <w:r w:rsidRPr="006E2876">
        <w:rPr>
          <w:rFonts w:ascii="Gothic720 BT" w:hAnsi="Gothic720 BT"/>
          <w:sz w:val="21"/>
          <w:szCs w:val="21"/>
        </w:rPr>
        <w:t xml:space="preserve">Oficio COE/018/2020, de treinta y uno de diciembre de dos mil veinte, con su anexo consistente en el acta de Oficialía Electoral de folio “AOEPS/039/2020”, que consta de seis fojas y un disco compacto. </w:t>
      </w:r>
    </w:p>
    <w:p w:rsidR="007F4E85" w:rsidRPr="006E2876" w:rsidRDefault="007F4E85" w:rsidP="007F4E85">
      <w:pPr>
        <w:spacing w:after="0" w:line="276" w:lineRule="auto"/>
        <w:ind w:left="993"/>
        <w:jc w:val="both"/>
        <w:rPr>
          <w:sz w:val="21"/>
          <w:szCs w:val="21"/>
        </w:rPr>
      </w:pPr>
    </w:p>
    <w:p w:rsidR="007F4E85" w:rsidRPr="006E2876" w:rsidRDefault="007F4E85" w:rsidP="007F4E85">
      <w:pPr>
        <w:spacing w:after="0" w:line="276" w:lineRule="auto"/>
        <w:ind w:left="709"/>
        <w:jc w:val="both"/>
        <w:rPr>
          <w:rFonts w:cs="Times New Roman"/>
          <w:sz w:val="21"/>
          <w:szCs w:val="21"/>
        </w:rPr>
      </w:pPr>
      <w:r w:rsidRPr="006E2876">
        <w:rPr>
          <w:rFonts w:cstheme="minorHAnsi"/>
          <w:sz w:val="21"/>
          <w:szCs w:val="21"/>
        </w:rPr>
        <w:t xml:space="preserve">Documentos los cuales se ordena agregar a los autos del expediente para que surtan sus efectos </w:t>
      </w:r>
      <w:r w:rsidRPr="006E2876">
        <w:rPr>
          <w:sz w:val="21"/>
          <w:szCs w:val="21"/>
        </w:rPr>
        <w:t>conducentes</w:t>
      </w:r>
      <w:r w:rsidRPr="006E2876">
        <w:rPr>
          <w:rFonts w:cstheme="minorHAnsi"/>
          <w:sz w:val="21"/>
          <w:szCs w:val="21"/>
        </w:rPr>
        <w:t>.</w:t>
      </w:r>
    </w:p>
    <w:p w:rsidR="007F4E85" w:rsidRPr="006E2876" w:rsidRDefault="007F4E85" w:rsidP="007F4E85">
      <w:pPr>
        <w:spacing w:after="0" w:line="276" w:lineRule="auto"/>
        <w:ind w:left="709"/>
        <w:jc w:val="both"/>
        <w:rPr>
          <w:rFonts w:cstheme="minorHAnsi"/>
          <w:b/>
          <w:sz w:val="21"/>
          <w:szCs w:val="21"/>
          <w:lang w:eastAsia="es-ES"/>
        </w:rPr>
      </w:pPr>
    </w:p>
    <w:p w:rsidR="008A1D13" w:rsidRPr="006E2876" w:rsidRDefault="007F4E85" w:rsidP="007F4E85">
      <w:pPr>
        <w:spacing w:after="0" w:line="276" w:lineRule="auto"/>
        <w:ind w:left="709"/>
        <w:jc w:val="both"/>
        <w:rPr>
          <w:rFonts w:eastAsia="Times New Roman" w:cs="Times New Roman"/>
          <w:bCs/>
          <w:sz w:val="21"/>
          <w:szCs w:val="21"/>
          <w:lang w:val="es-ES" w:eastAsia="es-MX"/>
        </w:rPr>
      </w:pPr>
      <w:r w:rsidRPr="006E2876">
        <w:rPr>
          <w:rFonts w:cstheme="minorHAnsi"/>
          <w:b/>
          <w:sz w:val="21"/>
          <w:szCs w:val="21"/>
          <w:lang w:eastAsia="es-ES"/>
        </w:rPr>
        <w:t xml:space="preserve">SEGUNDO. </w:t>
      </w:r>
      <w:r w:rsidRPr="006E2876">
        <w:rPr>
          <w:rFonts w:eastAsia="Times New Roman" w:cs="Times New Roman"/>
          <w:b/>
          <w:bCs/>
          <w:sz w:val="21"/>
          <w:szCs w:val="21"/>
          <w:lang w:val="es-ES" w:eastAsia="es-MX"/>
        </w:rPr>
        <w:t>Vista.</w:t>
      </w:r>
      <w:r w:rsidRPr="006E2876">
        <w:rPr>
          <w:rFonts w:eastAsia="Times New Roman" w:cs="Times New Roman"/>
          <w:bCs/>
          <w:sz w:val="21"/>
          <w:szCs w:val="21"/>
          <w:lang w:val="es-ES" w:eastAsia="es-MX"/>
        </w:rPr>
        <w:t xml:space="preserve"> </w:t>
      </w:r>
      <w:r w:rsidR="008A1D13" w:rsidRPr="006E2876">
        <w:rPr>
          <w:rFonts w:eastAsia="Times New Roman" w:cs="Times New Roman"/>
          <w:bCs/>
          <w:sz w:val="21"/>
          <w:szCs w:val="21"/>
          <w:lang w:val="es-ES" w:eastAsia="es-MX"/>
        </w:rPr>
        <w:t>El diecinueve de noviembre de dos mil veinte, mediante acuerdo emitido por esta Dirección Ejecutiva se ordenó remitir el expediente citado al rubro</w:t>
      </w:r>
      <w:r w:rsidR="00BC43AE" w:rsidRPr="006E2876">
        <w:rPr>
          <w:rFonts w:eastAsia="Times New Roman" w:cs="Times New Roman"/>
          <w:bCs/>
          <w:sz w:val="21"/>
          <w:szCs w:val="21"/>
          <w:lang w:val="es-ES" w:eastAsia="es-MX"/>
        </w:rPr>
        <w:t xml:space="preserve"> al Tribunal Electoral del Estado de Querétaro</w:t>
      </w:r>
      <w:r w:rsidR="00BC43AE" w:rsidRPr="006E2876">
        <w:rPr>
          <w:rStyle w:val="Refdenotaalpie"/>
          <w:rFonts w:eastAsia="Times New Roman" w:cs="Times New Roman"/>
          <w:bCs/>
          <w:sz w:val="21"/>
          <w:szCs w:val="21"/>
          <w:lang w:val="es-ES" w:eastAsia="es-MX"/>
        </w:rPr>
        <w:footnoteReference w:id="4"/>
      </w:r>
      <w:r w:rsidR="00BC43AE" w:rsidRPr="006E2876">
        <w:rPr>
          <w:rFonts w:eastAsia="Times New Roman" w:cs="Times New Roman"/>
          <w:bCs/>
          <w:sz w:val="21"/>
          <w:szCs w:val="21"/>
          <w:lang w:val="es-ES" w:eastAsia="es-MX"/>
        </w:rPr>
        <w:t>.</w:t>
      </w:r>
    </w:p>
    <w:p w:rsidR="008A1D13" w:rsidRPr="006E2876" w:rsidRDefault="008A1D13" w:rsidP="007F4E85">
      <w:pPr>
        <w:spacing w:after="0" w:line="276" w:lineRule="auto"/>
        <w:ind w:left="709"/>
        <w:jc w:val="both"/>
        <w:rPr>
          <w:rFonts w:eastAsia="Times New Roman" w:cs="Times New Roman"/>
          <w:bCs/>
          <w:sz w:val="21"/>
          <w:szCs w:val="21"/>
          <w:lang w:val="es-ES" w:eastAsia="es-MX"/>
        </w:rPr>
      </w:pPr>
    </w:p>
    <w:p w:rsidR="00BE5CD0" w:rsidRPr="006E2876" w:rsidRDefault="00BE5CD0" w:rsidP="007F4E85">
      <w:pPr>
        <w:spacing w:after="0" w:line="276" w:lineRule="auto"/>
        <w:ind w:left="709"/>
        <w:jc w:val="both"/>
        <w:rPr>
          <w:rFonts w:eastAsia="Times New Roman" w:cs="Times New Roman"/>
          <w:bCs/>
          <w:sz w:val="21"/>
          <w:szCs w:val="21"/>
          <w:lang w:val="es-ES" w:eastAsia="es-MX"/>
        </w:rPr>
      </w:pPr>
      <w:r w:rsidRPr="006E2876">
        <w:rPr>
          <w:rFonts w:eastAsia="Times New Roman" w:cs="Times New Roman"/>
          <w:bCs/>
          <w:sz w:val="21"/>
          <w:szCs w:val="21"/>
          <w:lang w:val="es-ES" w:eastAsia="es-MX"/>
        </w:rPr>
        <w:t xml:space="preserve">El siete de diciembre de dos mil veinte, el denunciante presentó escrito </w:t>
      </w:r>
      <w:r w:rsidR="00CA6701" w:rsidRPr="006E2876">
        <w:rPr>
          <w:rFonts w:eastAsia="Times New Roman" w:cs="Times New Roman"/>
          <w:bCs/>
          <w:sz w:val="21"/>
          <w:szCs w:val="21"/>
          <w:lang w:val="es-ES" w:eastAsia="es-MX"/>
        </w:rPr>
        <w:t>ante</w:t>
      </w:r>
      <w:r w:rsidRPr="006E2876">
        <w:rPr>
          <w:rFonts w:eastAsia="Times New Roman" w:cs="Times New Roman"/>
          <w:bCs/>
          <w:sz w:val="21"/>
          <w:szCs w:val="21"/>
          <w:lang w:val="es-ES" w:eastAsia="es-MX"/>
        </w:rPr>
        <w:t xml:space="preserve"> el Tribunal Electoral,</w:t>
      </w:r>
      <w:r w:rsidR="007D37D5" w:rsidRPr="006E2876">
        <w:rPr>
          <w:rFonts w:eastAsia="Times New Roman" w:cs="Times New Roman"/>
          <w:bCs/>
          <w:sz w:val="21"/>
          <w:szCs w:val="21"/>
          <w:lang w:val="es-ES" w:eastAsia="es-MX"/>
        </w:rPr>
        <w:t xml:space="preserve"> el cual fue registrado</w:t>
      </w:r>
      <w:r w:rsidRPr="006E2876">
        <w:rPr>
          <w:rFonts w:eastAsia="Times New Roman" w:cs="Times New Roman"/>
          <w:bCs/>
          <w:sz w:val="21"/>
          <w:szCs w:val="21"/>
          <w:lang w:val="es-ES" w:eastAsia="es-MX"/>
        </w:rPr>
        <w:t xml:space="preserve"> </w:t>
      </w:r>
      <w:r w:rsidR="007D37D5" w:rsidRPr="006E2876">
        <w:rPr>
          <w:rFonts w:eastAsia="Times New Roman" w:cs="Times New Roman"/>
          <w:bCs/>
          <w:sz w:val="21"/>
          <w:szCs w:val="21"/>
          <w:lang w:val="es-ES" w:eastAsia="es-MX"/>
        </w:rPr>
        <w:t xml:space="preserve">con folio 1269, </w:t>
      </w:r>
      <w:r w:rsidR="00CA6701" w:rsidRPr="006E2876">
        <w:rPr>
          <w:rFonts w:eastAsia="Times New Roman" w:cs="Times New Roman"/>
          <w:bCs/>
          <w:sz w:val="21"/>
          <w:szCs w:val="21"/>
          <w:lang w:val="es-ES" w:eastAsia="es-MX"/>
        </w:rPr>
        <w:t>en el que</w:t>
      </w:r>
      <w:r w:rsidRPr="006E2876">
        <w:rPr>
          <w:rFonts w:eastAsia="Times New Roman" w:cs="Times New Roman"/>
          <w:bCs/>
          <w:sz w:val="21"/>
          <w:szCs w:val="21"/>
          <w:lang w:val="es-ES" w:eastAsia="es-MX"/>
        </w:rPr>
        <w:t xml:space="preserve"> ofertó pruebas supervenientes</w:t>
      </w:r>
      <w:r w:rsidR="007D37D5" w:rsidRPr="006E2876">
        <w:rPr>
          <w:rFonts w:eastAsia="Times New Roman" w:cs="Times New Roman"/>
          <w:bCs/>
          <w:sz w:val="21"/>
          <w:szCs w:val="21"/>
          <w:lang w:val="es-ES" w:eastAsia="es-MX"/>
        </w:rPr>
        <w:t xml:space="preserve">; </w:t>
      </w:r>
      <w:r w:rsidRPr="006E2876">
        <w:rPr>
          <w:rFonts w:eastAsia="Times New Roman" w:cs="Times New Roman"/>
          <w:bCs/>
          <w:sz w:val="21"/>
          <w:szCs w:val="21"/>
          <w:lang w:val="es-ES" w:eastAsia="es-MX"/>
        </w:rPr>
        <w:t>motivo por el cual la autoridad jurisdiccional electoral</w:t>
      </w:r>
      <w:r w:rsidR="00CA6701" w:rsidRPr="006E2876">
        <w:rPr>
          <w:rFonts w:eastAsia="Times New Roman" w:cs="Times New Roman"/>
          <w:bCs/>
          <w:sz w:val="21"/>
          <w:szCs w:val="21"/>
          <w:lang w:val="es-ES" w:eastAsia="es-MX"/>
        </w:rPr>
        <w:t xml:space="preserve"> local remitió el </w:t>
      </w:r>
      <w:r w:rsidR="00CA6701" w:rsidRPr="006E2876">
        <w:rPr>
          <w:rFonts w:eastAsia="Times New Roman" w:cs="Times New Roman"/>
          <w:bCs/>
          <w:sz w:val="21"/>
          <w:szCs w:val="21"/>
          <w:lang w:val="es-ES" w:eastAsia="es-MX"/>
        </w:rPr>
        <w:lastRenderedPageBreak/>
        <w:t>expediente citado al rubro a este Instituto el veintiocho de diciembre de dos mil veinte</w:t>
      </w:r>
      <w:r w:rsidR="007D37D5" w:rsidRPr="006E2876">
        <w:rPr>
          <w:rFonts w:eastAsia="Times New Roman" w:cs="Times New Roman"/>
          <w:bCs/>
          <w:sz w:val="21"/>
          <w:szCs w:val="21"/>
          <w:lang w:val="es-ES" w:eastAsia="es-MX"/>
        </w:rPr>
        <w:t xml:space="preserve">, mediante oficio </w:t>
      </w:r>
      <w:r w:rsidR="007D37D5" w:rsidRPr="006E2876">
        <w:rPr>
          <w:rFonts w:eastAsia="Times New Roman" w:cs="Times New Roman"/>
          <w:sz w:val="21"/>
          <w:szCs w:val="21"/>
          <w:lang w:val="es-ES" w:eastAsia="es-MX"/>
        </w:rPr>
        <w:t>de notificación TEEQ-SGA-AC-706/2020.</w:t>
      </w:r>
    </w:p>
    <w:p w:rsidR="00BE5CD0" w:rsidRPr="006E2876" w:rsidRDefault="00BE5CD0" w:rsidP="007F4E85">
      <w:pPr>
        <w:spacing w:after="0" w:line="276" w:lineRule="auto"/>
        <w:ind w:left="709"/>
        <w:jc w:val="both"/>
        <w:rPr>
          <w:rFonts w:eastAsia="Times New Roman" w:cs="Times New Roman"/>
          <w:bCs/>
          <w:sz w:val="21"/>
          <w:szCs w:val="21"/>
          <w:lang w:val="es-ES" w:eastAsia="es-MX"/>
        </w:rPr>
      </w:pPr>
    </w:p>
    <w:p w:rsidR="007F4E85" w:rsidRPr="006E2876" w:rsidRDefault="00CA6701" w:rsidP="007F4E85">
      <w:pPr>
        <w:spacing w:after="0" w:line="276" w:lineRule="auto"/>
        <w:ind w:left="709"/>
        <w:jc w:val="both"/>
        <w:rPr>
          <w:color w:val="000000" w:themeColor="text1"/>
          <w:sz w:val="21"/>
          <w:szCs w:val="21"/>
        </w:rPr>
      </w:pPr>
      <w:r w:rsidRPr="006E2876">
        <w:rPr>
          <w:rFonts w:eastAsia="Times New Roman" w:cs="Times New Roman"/>
          <w:bCs/>
          <w:sz w:val="21"/>
          <w:szCs w:val="21"/>
          <w:lang w:val="es-ES" w:eastAsia="es-MX"/>
        </w:rPr>
        <w:t>Posteriormente, y e</w:t>
      </w:r>
      <w:r w:rsidR="007F4E85" w:rsidRPr="006E2876">
        <w:rPr>
          <w:rFonts w:eastAsia="Times New Roman" w:cs="Times New Roman"/>
          <w:bCs/>
          <w:sz w:val="21"/>
          <w:szCs w:val="21"/>
          <w:lang w:val="es-ES" w:eastAsia="es-MX"/>
        </w:rPr>
        <w:t xml:space="preserve">n </w:t>
      </w:r>
      <w:r w:rsidR="007F4E85" w:rsidRPr="006E2876">
        <w:rPr>
          <w:sz w:val="21"/>
          <w:szCs w:val="21"/>
        </w:rPr>
        <w:t xml:space="preserve">aras </w:t>
      </w:r>
      <w:r w:rsidR="007F4E85" w:rsidRPr="006E2876">
        <w:rPr>
          <w:rFonts w:eastAsia="Calibri" w:cs="Arial"/>
          <w:color w:val="000000"/>
          <w:sz w:val="21"/>
          <w:szCs w:val="21"/>
        </w:rPr>
        <w:t xml:space="preserve">de evitar que se perdieran o alteraran elementos relacionados con actos o hechos que constituyeran presuntas infracciones a la legislación electoral, </w:t>
      </w:r>
      <w:r w:rsidR="007F4E85" w:rsidRPr="006E2876">
        <w:rPr>
          <w:color w:val="000000" w:themeColor="text1"/>
          <w:sz w:val="21"/>
          <w:szCs w:val="21"/>
        </w:rPr>
        <w:t>así como en atención al contenido del es</w:t>
      </w:r>
      <w:r w:rsidR="006E2876" w:rsidRPr="006E2876">
        <w:rPr>
          <w:color w:val="000000" w:themeColor="text1"/>
          <w:sz w:val="21"/>
          <w:szCs w:val="21"/>
        </w:rPr>
        <w:t>crito signado por el denunciante</w:t>
      </w:r>
      <w:r w:rsidR="007F4E85" w:rsidRPr="006E2876">
        <w:rPr>
          <w:color w:val="000000" w:themeColor="text1"/>
          <w:sz w:val="21"/>
          <w:szCs w:val="21"/>
        </w:rPr>
        <w:t xml:space="preserve">, </w:t>
      </w:r>
      <w:r w:rsidR="007F4E85" w:rsidRPr="006E2876">
        <w:rPr>
          <w:rFonts w:eastAsia="Times New Roman" w:cs="Times New Roman"/>
          <w:bCs/>
          <w:sz w:val="21"/>
          <w:szCs w:val="21"/>
          <w:lang w:val="es-ES" w:eastAsia="es-MX"/>
        </w:rPr>
        <w:t xml:space="preserve">esta Dirección Ejecutiva </w:t>
      </w:r>
      <w:r w:rsidR="007F4E85" w:rsidRPr="006E2876">
        <w:rPr>
          <w:rFonts w:eastAsia="Calibri" w:cs="Arial"/>
          <w:sz w:val="21"/>
          <w:szCs w:val="21"/>
          <w:lang w:eastAsia="es-ES"/>
        </w:rPr>
        <w:t>instruyó a personal de la Coordinación de la Oficialía Electoral, mediante oficio DEAJ/703/2020</w:t>
      </w:r>
      <w:r w:rsidR="008A1D13" w:rsidRPr="006E2876">
        <w:rPr>
          <w:rFonts w:eastAsia="Calibri" w:cs="Arial"/>
          <w:sz w:val="21"/>
          <w:szCs w:val="21"/>
          <w:lang w:eastAsia="es-ES"/>
        </w:rPr>
        <w:t xml:space="preserve"> de treinta de diciembre de dos mil veinte</w:t>
      </w:r>
      <w:r w:rsidR="007F4E85" w:rsidRPr="006E2876">
        <w:rPr>
          <w:rFonts w:eastAsia="Calibri" w:cs="Arial"/>
          <w:sz w:val="21"/>
          <w:szCs w:val="21"/>
          <w:lang w:eastAsia="es-ES"/>
        </w:rPr>
        <w:t>,</w:t>
      </w:r>
      <w:r w:rsidR="007F4E85" w:rsidRPr="006E2876">
        <w:rPr>
          <w:color w:val="000000" w:themeColor="text1"/>
          <w:sz w:val="21"/>
          <w:szCs w:val="21"/>
        </w:rPr>
        <w:t xml:space="preserve"> </w:t>
      </w:r>
      <w:r w:rsidR="007F4E85" w:rsidRPr="006E2876">
        <w:rPr>
          <w:rFonts w:eastAsia="Calibri" w:cs="Arial"/>
          <w:sz w:val="21"/>
          <w:szCs w:val="21"/>
          <w:lang w:eastAsia="es-ES"/>
        </w:rPr>
        <w:t xml:space="preserve">a efecto de que certificara el contenido de las notas de internet señaladas en el escrito del </w:t>
      </w:r>
      <w:r w:rsidR="007D37D5" w:rsidRPr="006E2876">
        <w:rPr>
          <w:rFonts w:eastAsia="Calibri" w:cs="Arial"/>
          <w:sz w:val="21"/>
          <w:szCs w:val="21"/>
          <w:lang w:eastAsia="es-ES"/>
        </w:rPr>
        <w:t>denunciante</w:t>
      </w:r>
      <w:r w:rsidR="007F4E85" w:rsidRPr="006E2876">
        <w:rPr>
          <w:rFonts w:eastAsia="Calibri" w:cs="Arial"/>
          <w:sz w:val="21"/>
          <w:szCs w:val="21"/>
          <w:lang w:eastAsia="es-ES"/>
        </w:rPr>
        <w:t>, las cuales son:</w:t>
      </w:r>
    </w:p>
    <w:p w:rsidR="007F4E85" w:rsidRPr="006E2876" w:rsidRDefault="007F4E85" w:rsidP="007F4E85">
      <w:pPr>
        <w:spacing w:after="0" w:line="240" w:lineRule="auto"/>
        <w:ind w:left="709"/>
        <w:jc w:val="both"/>
        <w:textAlignment w:val="baseline"/>
        <w:rPr>
          <w:rFonts w:eastAsia="Times New Roman" w:cs="Times New Roman"/>
          <w:bCs/>
          <w:sz w:val="21"/>
          <w:szCs w:val="21"/>
          <w:lang w:val="es-ES" w:eastAsia="es-MX"/>
        </w:rPr>
      </w:pPr>
    </w:p>
    <w:p w:rsidR="007F4E85" w:rsidRPr="006E2876" w:rsidRDefault="007F4E85" w:rsidP="007F4E85">
      <w:pPr>
        <w:pStyle w:val="Prrafodelista"/>
        <w:numPr>
          <w:ilvl w:val="0"/>
          <w:numId w:val="2"/>
        </w:numPr>
        <w:spacing w:line="276" w:lineRule="auto"/>
        <w:ind w:left="1134" w:hanging="425"/>
        <w:jc w:val="both"/>
        <w:rPr>
          <w:rFonts w:ascii="Gothic720 BT" w:hAnsi="Gothic720 BT"/>
          <w:color w:val="000000" w:themeColor="text1"/>
          <w:sz w:val="21"/>
          <w:szCs w:val="21"/>
        </w:rPr>
      </w:pPr>
      <w:r w:rsidRPr="006E2876">
        <w:rPr>
          <w:rFonts w:ascii="Gothic720 BT" w:hAnsi="Gothic720 BT"/>
          <w:color w:val="000000" w:themeColor="text1"/>
          <w:sz w:val="21"/>
          <w:szCs w:val="21"/>
        </w:rPr>
        <w:t>Nota periodística de fecha cinco de diciembre, publicada por el medio de comunicación “Expreso Querétaro”, consultable en la liga de internet: http://www.expresoqueretaro.com/noticias/se-registra-juan-jose-jimenez-como-aspirante-a-la-gubernatura-de-queretaro-por-morena/.</w:t>
      </w:r>
    </w:p>
    <w:p w:rsidR="007F4E85" w:rsidRPr="006E2876" w:rsidRDefault="007F4E85" w:rsidP="007F4E85">
      <w:pPr>
        <w:pStyle w:val="Prrafodelista"/>
        <w:spacing w:line="276" w:lineRule="auto"/>
        <w:ind w:left="1429"/>
        <w:jc w:val="both"/>
        <w:rPr>
          <w:rFonts w:ascii="Gothic720 BT" w:hAnsi="Gothic720 BT"/>
          <w:color w:val="000000" w:themeColor="text1"/>
          <w:sz w:val="21"/>
          <w:szCs w:val="21"/>
        </w:rPr>
      </w:pPr>
    </w:p>
    <w:p w:rsidR="007F4E85" w:rsidRPr="006E2876" w:rsidRDefault="007F4E85" w:rsidP="007F4E85">
      <w:pPr>
        <w:pStyle w:val="Prrafodelista"/>
        <w:numPr>
          <w:ilvl w:val="0"/>
          <w:numId w:val="2"/>
        </w:numPr>
        <w:spacing w:line="276" w:lineRule="auto"/>
        <w:ind w:left="1134" w:hanging="425"/>
        <w:jc w:val="both"/>
        <w:rPr>
          <w:rFonts w:ascii="Gothic720 BT" w:hAnsi="Gothic720 BT"/>
          <w:color w:val="000000" w:themeColor="text1"/>
          <w:sz w:val="21"/>
          <w:szCs w:val="21"/>
        </w:rPr>
      </w:pPr>
      <w:r w:rsidRPr="006E2876">
        <w:rPr>
          <w:rFonts w:ascii="Gothic720 BT" w:hAnsi="Gothic720 BT"/>
          <w:color w:val="000000" w:themeColor="text1"/>
          <w:sz w:val="21"/>
          <w:szCs w:val="21"/>
        </w:rPr>
        <w:t>La existencia de la cuenta “@</w:t>
      </w:r>
      <w:proofErr w:type="spellStart"/>
      <w:r w:rsidRPr="006E2876">
        <w:rPr>
          <w:rFonts w:ascii="Gothic720 BT" w:hAnsi="Gothic720 BT"/>
          <w:color w:val="000000" w:themeColor="text1"/>
          <w:sz w:val="21"/>
          <w:szCs w:val="21"/>
        </w:rPr>
        <w:t>JJJimenezY</w:t>
      </w:r>
      <w:proofErr w:type="spellEnd"/>
      <w:r w:rsidRPr="006E2876">
        <w:rPr>
          <w:rFonts w:ascii="Gothic720 BT" w:hAnsi="Gothic720 BT"/>
          <w:color w:val="000000" w:themeColor="text1"/>
          <w:sz w:val="21"/>
          <w:szCs w:val="21"/>
        </w:rPr>
        <w:t>” en la red social Twitter, y en su caso, la verificación de la publicación consultable en la liga de internet: https://twitter.com/JJJimenezY/status/1335306444682379264.</w:t>
      </w:r>
    </w:p>
    <w:p w:rsidR="007F4E85" w:rsidRPr="006E2876" w:rsidRDefault="007F4E85" w:rsidP="007F4E85">
      <w:pPr>
        <w:spacing w:after="0" w:line="240" w:lineRule="auto"/>
        <w:ind w:left="709"/>
        <w:jc w:val="both"/>
        <w:textAlignment w:val="baseline"/>
        <w:rPr>
          <w:rFonts w:eastAsia="Times New Roman" w:cs="Times New Roman"/>
          <w:bCs/>
          <w:sz w:val="21"/>
          <w:szCs w:val="21"/>
          <w:lang w:val="es-ES" w:eastAsia="es-MX"/>
        </w:rPr>
      </w:pPr>
    </w:p>
    <w:p w:rsidR="007F4E85" w:rsidRPr="006E2876" w:rsidRDefault="007F4E85" w:rsidP="007F4E85">
      <w:pPr>
        <w:spacing w:after="0"/>
        <w:ind w:left="709"/>
        <w:jc w:val="both"/>
        <w:rPr>
          <w:rFonts w:eastAsia="Times New Roman" w:cs="Times New Roman"/>
          <w:bCs/>
          <w:sz w:val="21"/>
          <w:szCs w:val="21"/>
          <w:lang w:val="es-ES" w:eastAsia="es-MX"/>
        </w:rPr>
      </w:pPr>
      <w:r w:rsidRPr="006E2876">
        <w:rPr>
          <w:rFonts w:eastAsia="Times New Roman" w:cs="Times New Roman"/>
          <w:bCs/>
          <w:sz w:val="21"/>
          <w:szCs w:val="21"/>
          <w:lang w:val="es-ES" w:eastAsia="es-MX"/>
        </w:rPr>
        <w:t xml:space="preserve">Por lo que, </w:t>
      </w:r>
      <w:r w:rsidRPr="006E2876">
        <w:rPr>
          <w:rFonts w:cs="Arial"/>
          <w:sz w:val="21"/>
          <w:szCs w:val="21"/>
        </w:rPr>
        <w:t xml:space="preserve">toda vez que existe </w:t>
      </w:r>
      <w:r w:rsidRPr="006E2876">
        <w:rPr>
          <w:rFonts w:cs="Arial"/>
          <w:color w:val="000000" w:themeColor="text1"/>
          <w:sz w:val="21"/>
          <w:szCs w:val="21"/>
        </w:rPr>
        <w:t>acta de Oficialía Electoral con folio AOEPS/039/2020, mediante la cual funcionariado hizo constar la existencia de las ligas de internet en cita</w:t>
      </w:r>
      <w:r w:rsidRPr="006E2876">
        <w:rPr>
          <w:rFonts w:eastAsia="Times New Roman" w:cs="Times New Roman"/>
          <w:bCs/>
          <w:sz w:val="21"/>
          <w:szCs w:val="21"/>
          <w:lang w:val="es-ES" w:eastAsia="es-MX"/>
        </w:rPr>
        <w:t>, esta Dirección Ejecutiva determina dar vista a l</w:t>
      </w:r>
      <w:r w:rsidR="007D37D5" w:rsidRPr="006E2876">
        <w:rPr>
          <w:rFonts w:eastAsia="Times New Roman" w:cs="Times New Roman"/>
          <w:bCs/>
          <w:sz w:val="21"/>
          <w:szCs w:val="21"/>
          <w:lang w:val="es-ES" w:eastAsia="es-MX"/>
        </w:rPr>
        <w:t xml:space="preserve">os denunciados </w:t>
      </w:r>
      <w:r w:rsidRPr="006E2876">
        <w:rPr>
          <w:rFonts w:eastAsia="Times New Roman" w:cs="Times New Roman"/>
          <w:bCs/>
          <w:sz w:val="21"/>
          <w:szCs w:val="21"/>
          <w:lang w:val="es-ES" w:eastAsia="es-MX"/>
        </w:rPr>
        <w:t xml:space="preserve">del </w:t>
      </w:r>
      <w:r w:rsidR="007D37D5" w:rsidRPr="006E2876">
        <w:rPr>
          <w:rFonts w:eastAsia="Times New Roman" w:cs="Times New Roman"/>
          <w:bCs/>
          <w:sz w:val="21"/>
          <w:szCs w:val="21"/>
          <w:lang w:val="es-ES" w:eastAsia="es-MX"/>
        </w:rPr>
        <w:t xml:space="preserve">presente procedimiento </w:t>
      </w:r>
      <w:r w:rsidRPr="006E2876">
        <w:rPr>
          <w:rFonts w:eastAsia="Times New Roman" w:cs="Times New Roman"/>
          <w:bCs/>
          <w:sz w:val="21"/>
          <w:szCs w:val="21"/>
          <w:lang w:val="es-ES" w:eastAsia="es-MX"/>
        </w:rPr>
        <w:t xml:space="preserve">a efecto de que en el plazo de </w:t>
      </w:r>
      <w:r w:rsidRPr="006E2876">
        <w:rPr>
          <w:rFonts w:cs="Arial"/>
          <w:b/>
          <w:sz w:val="21"/>
          <w:szCs w:val="21"/>
        </w:rPr>
        <w:t>CUARENTA Y OCHO HORAS NATURALES</w:t>
      </w:r>
      <w:r w:rsidRPr="006E2876">
        <w:rPr>
          <w:rFonts w:cs="Arial"/>
          <w:sz w:val="21"/>
          <w:szCs w:val="21"/>
        </w:rPr>
        <w:t>, contadas a partir de que surta efectos la notificación del presente proveído, manifiesten por escrito lo que a su derecho convenga.</w:t>
      </w:r>
    </w:p>
    <w:p w:rsidR="007F4E85" w:rsidRPr="006E2876" w:rsidRDefault="007F4E85" w:rsidP="007F4E85">
      <w:pPr>
        <w:spacing w:after="0"/>
        <w:ind w:left="709"/>
        <w:jc w:val="both"/>
        <w:rPr>
          <w:rFonts w:eastAsia="Times New Roman" w:cs="Times New Roman"/>
          <w:bCs/>
          <w:sz w:val="21"/>
          <w:szCs w:val="21"/>
          <w:lang w:val="es-ES" w:eastAsia="es-MX"/>
        </w:rPr>
      </w:pPr>
    </w:p>
    <w:p w:rsidR="00FE480B" w:rsidRPr="006E2876" w:rsidRDefault="00FE480B" w:rsidP="007F4E85">
      <w:pPr>
        <w:spacing w:after="0"/>
        <w:ind w:left="709"/>
        <w:jc w:val="both"/>
        <w:rPr>
          <w:rFonts w:eastAsia="Times New Roman" w:cs="Times New Roman"/>
          <w:bCs/>
          <w:sz w:val="21"/>
          <w:szCs w:val="21"/>
          <w:lang w:val="es-ES" w:eastAsia="es-MX"/>
        </w:rPr>
      </w:pPr>
      <w:r w:rsidRPr="006E2876">
        <w:rPr>
          <w:rFonts w:eastAsia="Times New Roman" w:cs="Times New Roman"/>
          <w:bCs/>
          <w:sz w:val="21"/>
          <w:szCs w:val="21"/>
          <w:lang w:val="es-ES" w:eastAsia="es-MX"/>
        </w:rPr>
        <w:t xml:space="preserve">Para ello, se ordena correr traslado a las partes con copia del escrito </w:t>
      </w:r>
      <w:r w:rsidR="007D37D5" w:rsidRPr="006E2876">
        <w:rPr>
          <w:rFonts w:eastAsia="Times New Roman" w:cs="Times New Roman"/>
          <w:bCs/>
          <w:sz w:val="21"/>
          <w:szCs w:val="21"/>
          <w:lang w:val="es-ES" w:eastAsia="es-MX"/>
        </w:rPr>
        <w:t xml:space="preserve">de folio 1269 </w:t>
      </w:r>
      <w:r w:rsidRPr="006E2876">
        <w:rPr>
          <w:rFonts w:eastAsia="Times New Roman" w:cs="Times New Roman"/>
          <w:bCs/>
          <w:sz w:val="21"/>
          <w:szCs w:val="21"/>
          <w:lang w:val="es-ES" w:eastAsia="es-MX"/>
        </w:rPr>
        <w:t>presentado por el denunciante en el Tribunal Electoral, así como con copia simple del acta de Oficialía Electoral con folio AOEPS/039/2020.</w:t>
      </w:r>
    </w:p>
    <w:p w:rsidR="00FE480B" w:rsidRPr="006E2876" w:rsidRDefault="00FE480B" w:rsidP="007F4E85">
      <w:pPr>
        <w:spacing w:after="0"/>
        <w:ind w:left="709"/>
        <w:jc w:val="both"/>
        <w:rPr>
          <w:rFonts w:eastAsia="Times New Roman" w:cs="Times New Roman"/>
          <w:bCs/>
          <w:sz w:val="21"/>
          <w:szCs w:val="21"/>
          <w:lang w:val="es-ES" w:eastAsia="es-MX"/>
        </w:rPr>
      </w:pPr>
    </w:p>
    <w:p w:rsidR="007F4E85" w:rsidRPr="006E2876" w:rsidRDefault="007F4E85" w:rsidP="007F4E85">
      <w:pPr>
        <w:spacing w:after="0" w:line="240" w:lineRule="auto"/>
        <w:ind w:left="709"/>
        <w:jc w:val="both"/>
        <w:rPr>
          <w:rFonts w:cstheme="majorHAnsi"/>
          <w:sz w:val="21"/>
          <w:szCs w:val="21"/>
        </w:rPr>
      </w:pPr>
      <w:r w:rsidRPr="006E2876">
        <w:rPr>
          <w:rFonts w:cstheme="minorHAnsi"/>
          <w:b/>
          <w:sz w:val="21"/>
          <w:szCs w:val="21"/>
          <w:lang w:eastAsia="es-ES"/>
        </w:rPr>
        <w:t>Notifíquese personalmente a l</w:t>
      </w:r>
      <w:r w:rsidR="005C2A2E">
        <w:rPr>
          <w:rFonts w:cstheme="minorHAnsi"/>
          <w:b/>
          <w:sz w:val="21"/>
          <w:szCs w:val="21"/>
          <w:lang w:eastAsia="es-ES"/>
        </w:rPr>
        <w:t xml:space="preserve">os denunciados </w:t>
      </w:r>
      <w:r w:rsidRPr="006E2876">
        <w:rPr>
          <w:rFonts w:cstheme="minorHAnsi"/>
          <w:b/>
          <w:sz w:val="21"/>
          <w:szCs w:val="21"/>
          <w:lang w:eastAsia="es-ES"/>
        </w:rPr>
        <w:t xml:space="preserve">del presente procedimiento, </w:t>
      </w:r>
      <w:r w:rsidR="005C2A2E">
        <w:rPr>
          <w:rFonts w:cstheme="minorHAnsi"/>
          <w:b/>
          <w:sz w:val="21"/>
          <w:szCs w:val="21"/>
          <w:lang w:eastAsia="es-ES"/>
        </w:rPr>
        <w:t xml:space="preserve">y por estrados al denunciante, </w:t>
      </w:r>
      <w:r w:rsidRPr="006E2876">
        <w:rPr>
          <w:rFonts w:cstheme="minorHAnsi"/>
          <w:b/>
          <w:sz w:val="21"/>
          <w:szCs w:val="21"/>
          <w:lang w:eastAsia="es-ES"/>
        </w:rPr>
        <w:t xml:space="preserve">con fundamento en los artículos 3 </w:t>
      </w:r>
      <w:r w:rsidR="005C2A2E">
        <w:rPr>
          <w:rFonts w:cstheme="minorHAnsi"/>
          <w:b/>
          <w:sz w:val="21"/>
          <w:szCs w:val="21"/>
          <w:lang w:eastAsia="es-ES"/>
        </w:rPr>
        <w:t>de la Ley Electoral; 50, fracciones</w:t>
      </w:r>
      <w:r w:rsidRPr="006E2876">
        <w:rPr>
          <w:rFonts w:cstheme="minorHAnsi"/>
          <w:b/>
          <w:sz w:val="21"/>
          <w:szCs w:val="21"/>
          <w:lang w:eastAsia="es-ES"/>
        </w:rPr>
        <w:t xml:space="preserve"> I</w:t>
      </w:r>
      <w:r w:rsidR="005C2A2E">
        <w:rPr>
          <w:rFonts w:cstheme="minorHAnsi"/>
          <w:b/>
          <w:sz w:val="21"/>
          <w:szCs w:val="21"/>
          <w:lang w:eastAsia="es-ES"/>
        </w:rPr>
        <w:t xml:space="preserve"> y II</w:t>
      </w:r>
      <w:r w:rsidRPr="006E2876">
        <w:rPr>
          <w:rFonts w:cstheme="minorHAnsi"/>
          <w:b/>
          <w:sz w:val="21"/>
          <w:szCs w:val="21"/>
          <w:lang w:eastAsia="es-ES"/>
        </w:rPr>
        <w:t>, 51</w:t>
      </w:r>
      <w:r w:rsidR="005C2A2E">
        <w:rPr>
          <w:rFonts w:cstheme="minorHAnsi"/>
          <w:b/>
          <w:sz w:val="21"/>
          <w:szCs w:val="21"/>
          <w:lang w:eastAsia="es-ES"/>
        </w:rPr>
        <w:t>, 52 y 56, fraccio</w:t>
      </w:r>
      <w:r w:rsidRPr="006E2876">
        <w:rPr>
          <w:rFonts w:cstheme="minorHAnsi"/>
          <w:b/>
          <w:sz w:val="21"/>
          <w:szCs w:val="21"/>
          <w:lang w:eastAsia="es-ES"/>
        </w:rPr>
        <w:t>n</w:t>
      </w:r>
      <w:r w:rsidR="005C2A2E">
        <w:rPr>
          <w:rFonts w:cstheme="minorHAnsi"/>
          <w:b/>
          <w:sz w:val="21"/>
          <w:szCs w:val="21"/>
          <w:lang w:eastAsia="es-ES"/>
        </w:rPr>
        <w:t>es</w:t>
      </w:r>
      <w:r w:rsidRPr="006E2876">
        <w:rPr>
          <w:rFonts w:cstheme="minorHAnsi"/>
          <w:b/>
          <w:sz w:val="21"/>
          <w:szCs w:val="21"/>
          <w:lang w:eastAsia="es-ES"/>
        </w:rPr>
        <w:t xml:space="preserve"> </w:t>
      </w:r>
      <w:r w:rsidR="005C2A2E">
        <w:rPr>
          <w:rFonts w:cstheme="minorHAnsi"/>
          <w:b/>
          <w:sz w:val="21"/>
          <w:szCs w:val="21"/>
          <w:lang w:eastAsia="es-ES"/>
        </w:rPr>
        <w:t>I y I</w:t>
      </w:r>
      <w:r w:rsidRPr="006E2876">
        <w:rPr>
          <w:rFonts w:cstheme="minorHAnsi"/>
          <w:b/>
          <w:sz w:val="21"/>
          <w:szCs w:val="21"/>
          <w:lang w:eastAsia="es-ES"/>
        </w:rPr>
        <w:t>I de la Ley de</w:t>
      </w:r>
      <w:r w:rsidR="00F14B3A">
        <w:rPr>
          <w:rFonts w:cstheme="minorHAnsi"/>
          <w:b/>
          <w:sz w:val="21"/>
          <w:szCs w:val="21"/>
          <w:lang w:eastAsia="es-ES"/>
        </w:rPr>
        <w:t xml:space="preserve"> Medios de Impugnación en Materia Electoral del Estado de Querétaro.</w:t>
      </w:r>
    </w:p>
    <w:p w:rsidR="007F4E85" w:rsidRPr="006E2876" w:rsidRDefault="007F4E85" w:rsidP="007F4E85">
      <w:pPr>
        <w:spacing w:after="0" w:line="240" w:lineRule="auto"/>
        <w:ind w:left="709"/>
        <w:jc w:val="center"/>
        <w:rPr>
          <w:rFonts w:cstheme="majorHAnsi"/>
          <w:sz w:val="21"/>
          <w:szCs w:val="21"/>
        </w:rPr>
      </w:pPr>
    </w:p>
    <w:p w:rsidR="007F4E85" w:rsidRPr="006E2876" w:rsidRDefault="007F4E85" w:rsidP="007F4E85">
      <w:pPr>
        <w:spacing w:after="0" w:line="240" w:lineRule="auto"/>
        <w:ind w:left="709"/>
        <w:jc w:val="center"/>
        <w:rPr>
          <w:rFonts w:cstheme="majorHAnsi"/>
          <w:sz w:val="21"/>
          <w:szCs w:val="21"/>
        </w:rPr>
      </w:pPr>
    </w:p>
    <w:p w:rsidR="007F4E85" w:rsidRPr="006E2876" w:rsidRDefault="007F4E85" w:rsidP="007F4E85">
      <w:pPr>
        <w:spacing w:after="0" w:line="240" w:lineRule="auto"/>
        <w:ind w:left="709"/>
        <w:jc w:val="center"/>
        <w:rPr>
          <w:rFonts w:cstheme="majorHAnsi"/>
          <w:sz w:val="21"/>
          <w:szCs w:val="21"/>
        </w:rPr>
      </w:pPr>
    </w:p>
    <w:p w:rsidR="007F4E85" w:rsidRPr="006E2876" w:rsidRDefault="007F4E85" w:rsidP="007F4E85">
      <w:pPr>
        <w:spacing w:after="0" w:line="240" w:lineRule="auto"/>
        <w:ind w:left="709"/>
        <w:jc w:val="center"/>
        <w:rPr>
          <w:rFonts w:cstheme="minorHAnsi"/>
          <w:b/>
          <w:sz w:val="21"/>
          <w:szCs w:val="21"/>
          <w:lang w:eastAsia="es-ES"/>
        </w:rPr>
      </w:pPr>
      <w:r w:rsidRPr="006E2876">
        <w:rPr>
          <w:rFonts w:cstheme="majorHAnsi"/>
          <w:sz w:val="21"/>
          <w:szCs w:val="21"/>
        </w:rPr>
        <w:t>Dr. Juan Rivera Hernández</w:t>
      </w:r>
    </w:p>
    <w:p w:rsidR="007F4E85" w:rsidRPr="006E2876" w:rsidRDefault="007F4E85" w:rsidP="007F4E85">
      <w:pPr>
        <w:spacing w:after="0" w:line="240" w:lineRule="auto"/>
        <w:ind w:left="709"/>
        <w:jc w:val="center"/>
        <w:rPr>
          <w:rFonts w:cstheme="majorHAnsi"/>
          <w:b/>
          <w:sz w:val="21"/>
          <w:szCs w:val="21"/>
        </w:rPr>
      </w:pPr>
      <w:r w:rsidRPr="006E2876">
        <w:rPr>
          <w:rFonts w:cstheme="majorHAnsi"/>
          <w:b/>
          <w:sz w:val="21"/>
          <w:szCs w:val="21"/>
        </w:rPr>
        <w:t>Director Ejecutivo de Asuntos Jurídicos</w:t>
      </w:r>
      <w:bookmarkStart w:id="0" w:name="_GoBack"/>
      <w:bookmarkEnd w:id="0"/>
    </w:p>
    <w:sectPr w:rsidR="007F4E85" w:rsidRPr="006E2876" w:rsidSect="00C47102">
      <w:footerReference w:type="default" r:id="rId9"/>
      <w:pgSz w:w="12240" w:h="15840"/>
      <w:pgMar w:top="226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725" w:rsidRDefault="00341725" w:rsidP="007F4E85">
      <w:pPr>
        <w:spacing w:after="0" w:line="240" w:lineRule="auto"/>
      </w:pPr>
      <w:r>
        <w:separator/>
      </w:r>
    </w:p>
  </w:endnote>
  <w:endnote w:type="continuationSeparator" w:id="0">
    <w:p w:rsidR="00341725" w:rsidRDefault="00341725" w:rsidP="007F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73500"/>
      <w:docPartObj>
        <w:docPartGallery w:val="Page Numbers (Bottom of Page)"/>
        <w:docPartUnique/>
      </w:docPartObj>
    </w:sdtPr>
    <w:sdtEndPr/>
    <w:sdtContent>
      <w:p w:rsidR="00A0297A" w:rsidRDefault="000B2F4D">
        <w:pPr>
          <w:pStyle w:val="Piedepgina"/>
          <w:jc w:val="center"/>
        </w:pPr>
        <w:r>
          <w:fldChar w:fldCharType="begin"/>
        </w:r>
        <w:r>
          <w:instrText>PAGE   \* MERGEFORMAT</w:instrText>
        </w:r>
        <w:r>
          <w:fldChar w:fldCharType="separate"/>
        </w:r>
        <w:r w:rsidR="00F14B3A" w:rsidRPr="00F14B3A">
          <w:rPr>
            <w:noProof/>
            <w:lang w:val="es-ES"/>
          </w:rPr>
          <w:t>2</w:t>
        </w:r>
        <w:r>
          <w:fldChar w:fldCharType="end"/>
        </w:r>
      </w:p>
    </w:sdtContent>
  </w:sdt>
  <w:p w:rsidR="00341C4D" w:rsidRDefault="003417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725" w:rsidRDefault="00341725" w:rsidP="007F4E85">
      <w:pPr>
        <w:spacing w:after="0" w:line="240" w:lineRule="auto"/>
      </w:pPr>
      <w:r>
        <w:separator/>
      </w:r>
    </w:p>
  </w:footnote>
  <w:footnote w:type="continuationSeparator" w:id="0">
    <w:p w:rsidR="00341725" w:rsidRDefault="00341725" w:rsidP="007F4E85">
      <w:pPr>
        <w:spacing w:after="0" w:line="240" w:lineRule="auto"/>
      </w:pPr>
      <w:r>
        <w:continuationSeparator/>
      </w:r>
    </w:p>
  </w:footnote>
  <w:footnote w:id="1">
    <w:p w:rsidR="007F4E85" w:rsidRPr="004E2235" w:rsidRDefault="007F4E85" w:rsidP="007F4E85">
      <w:pPr>
        <w:pStyle w:val="Textonotapie"/>
        <w:ind w:left="709"/>
        <w:rPr>
          <w:rFonts w:ascii="Gothic720 BT" w:hAnsi="Gothic720 BT"/>
          <w:sz w:val="16"/>
          <w:szCs w:val="16"/>
        </w:rPr>
      </w:pPr>
      <w:r w:rsidRPr="004E2235">
        <w:rPr>
          <w:rStyle w:val="Refdenotaalpie"/>
          <w:rFonts w:ascii="Gothic720 BT" w:hAnsi="Gothic720 BT"/>
          <w:sz w:val="16"/>
          <w:szCs w:val="16"/>
        </w:rPr>
        <w:footnoteRef/>
      </w:r>
      <w:r w:rsidRPr="004E2235">
        <w:rPr>
          <w:rFonts w:ascii="Gothic720 BT" w:hAnsi="Gothic720 BT"/>
          <w:sz w:val="16"/>
          <w:szCs w:val="16"/>
        </w:rPr>
        <w:t xml:space="preserve"> En </w:t>
      </w:r>
      <w:r w:rsidRPr="004E2235">
        <w:rPr>
          <w:rFonts w:ascii="Gothic720 BT" w:hAnsi="Gothic720 BT" w:cstheme="minorHAnsi"/>
          <w:sz w:val="16"/>
          <w:szCs w:val="16"/>
        </w:rPr>
        <w:t>adelante</w:t>
      </w:r>
      <w:r w:rsidRPr="004E2235">
        <w:rPr>
          <w:rFonts w:ascii="Gothic720 BT" w:hAnsi="Gothic720 BT"/>
          <w:sz w:val="16"/>
          <w:szCs w:val="16"/>
        </w:rPr>
        <w:t xml:space="preserve"> Dirección Ejecutiva.</w:t>
      </w:r>
    </w:p>
  </w:footnote>
  <w:footnote w:id="2">
    <w:p w:rsidR="007F4E85" w:rsidRPr="00A52275" w:rsidRDefault="007F4E85" w:rsidP="007F4E85">
      <w:pPr>
        <w:pStyle w:val="Textonotapie"/>
        <w:ind w:left="709"/>
        <w:rPr>
          <w:rFonts w:cstheme="minorHAnsi"/>
          <w:sz w:val="16"/>
          <w:szCs w:val="16"/>
        </w:rPr>
      </w:pPr>
      <w:r w:rsidRPr="001507F6">
        <w:rPr>
          <w:rStyle w:val="Refdenotaalpie"/>
          <w:rFonts w:ascii="Gothic720 BT" w:hAnsi="Gothic720 BT" w:cstheme="minorHAnsi"/>
          <w:sz w:val="16"/>
          <w:szCs w:val="16"/>
        </w:rPr>
        <w:footnoteRef/>
      </w:r>
      <w:r w:rsidRPr="001507F6">
        <w:rPr>
          <w:rFonts w:ascii="Gothic720 BT" w:hAnsi="Gothic720 BT" w:cstheme="minorHAnsi"/>
          <w:sz w:val="16"/>
          <w:szCs w:val="16"/>
        </w:rPr>
        <w:t xml:space="preserve"> En adelante Ley Electoral.</w:t>
      </w:r>
    </w:p>
  </w:footnote>
  <w:footnote w:id="3">
    <w:p w:rsidR="007F4E85" w:rsidRPr="00C51FC2" w:rsidRDefault="007F4E85" w:rsidP="007F4E85">
      <w:pPr>
        <w:pStyle w:val="Textonotapie"/>
        <w:ind w:left="709"/>
        <w:rPr>
          <w:rFonts w:ascii="Gothic720 BT" w:hAnsi="Gothic720 BT"/>
          <w:sz w:val="16"/>
          <w:szCs w:val="16"/>
        </w:rPr>
      </w:pPr>
      <w:r w:rsidRPr="00C51FC2">
        <w:rPr>
          <w:rStyle w:val="Refdenotaalpie"/>
          <w:rFonts w:ascii="Gothic720 BT" w:hAnsi="Gothic720 BT"/>
          <w:sz w:val="16"/>
          <w:szCs w:val="16"/>
        </w:rPr>
        <w:footnoteRef/>
      </w:r>
      <w:r w:rsidRPr="00C51FC2">
        <w:rPr>
          <w:rFonts w:ascii="Gothic720 BT" w:hAnsi="Gothic720 BT"/>
          <w:sz w:val="16"/>
          <w:szCs w:val="16"/>
        </w:rPr>
        <w:t xml:space="preserve"> </w:t>
      </w:r>
      <w:r>
        <w:rPr>
          <w:rFonts w:ascii="Gothic720 BT" w:hAnsi="Gothic720 BT"/>
          <w:sz w:val="16"/>
          <w:szCs w:val="16"/>
        </w:rPr>
        <w:t>En adelante Instituto.</w:t>
      </w:r>
    </w:p>
  </w:footnote>
  <w:footnote w:id="4">
    <w:p w:rsidR="00BC43AE" w:rsidRPr="00BE5CD0" w:rsidRDefault="00BC43AE" w:rsidP="00BC43AE">
      <w:pPr>
        <w:pStyle w:val="Textonotapie"/>
        <w:ind w:left="709"/>
        <w:rPr>
          <w:rFonts w:ascii="Gothic720 BT" w:hAnsi="Gothic720 BT"/>
          <w:sz w:val="16"/>
          <w:szCs w:val="16"/>
        </w:rPr>
      </w:pPr>
      <w:r w:rsidRPr="00BE5CD0">
        <w:rPr>
          <w:rStyle w:val="Refdenotaalpie"/>
          <w:rFonts w:ascii="Gothic720 BT" w:hAnsi="Gothic720 BT"/>
          <w:sz w:val="16"/>
          <w:szCs w:val="16"/>
        </w:rPr>
        <w:footnoteRef/>
      </w:r>
      <w:r w:rsidRPr="00BE5CD0">
        <w:rPr>
          <w:rFonts w:ascii="Gothic720 BT" w:hAnsi="Gothic720 BT"/>
          <w:sz w:val="16"/>
          <w:szCs w:val="16"/>
        </w:rPr>
        <w:t xml:space="preserve"> </w:t>
      </w:r>
      <w:r>
        <w:rPr>
          <w:rFonts w:ascii="Gothic720 BT" w:hAnsi="Gothic720 BT"/>
          <w:sz w:val="16"/>
          <w:szCs w:val="16"/>
        </w:rPr>
        <w:t>En adelante Tribunal Electoral.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2A2C"/>
    <w:multiLevelType w:val="hybridMultilevel"/>
    <w:tmpl w:val="2F46E1F6"/>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5ED603BD"/>
    <w:multiLevelType w:val="hybridMultilevel"/>
    <w:tmpl w:val="53D210B0"/>
    <w:lvl w:ilvl="0" w:tplc="3212683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9C"/>
    <w:rsid w:val="000B2F4D"/>
    <w:rsid w:val="00231AF3"/>
    <w:rsid w:val="0028239C"/>
    <w:rsid w:val="00341725"/>
    <w:rsid w:val="004E688E"/>
    <w:rsid w:val="00581E0C"/>
    <w:rsid w:val="005C2A2E"/>
    <w:rsid w:val="006E2876"/>
    <w:rsid w:val="007D37D5"/>
    <w:rsid w:val="007F4E85"/>
    <w:rsid w:val="008A1D13"/>
    <w:rsid w:val="00BC43AE"/>
    <w:rsid w:val="00BE5CD0"/>
    <w:rsid w:val="00CA6701"/>
    <w:rsid w:val="00CF4A01"/>
    <w:rsid w:val="00EC17BA"/>
    <w:rsid w:val="00F14B3A"/>
    <w:rsid w:val="00FE48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85"/>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7F4E85"/>
    <w:pPr>
      <w:spacing w:after="0" w:line="240" w:lineRule="auto"/>
    </w:pPr>
    <w:rPr>
      <w:rFonts w:asciiTheme="minorHAnsi" w:hAnsiTheme="minorHAnsi"/>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7F4E85"/>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7F4E85"/>
    <w:rPr>
      <w:vertAlign w:val="superscript"/>
    </w:rPr>
  </w:style>
  <w:style w:type="paragraph" w:styleId="Prrafodelista">
    <w:name w:val="List Paragraph"/>
    <w:aliases w:val="CNBV Parrafo1,Párrafo de lista1"/>
    <w:basedOn w:val="Normal"/>
    <w:link w:val="PrrafodelistaCar"/>
    <w:uiPriority w:val="34"/>
    <w:qFormat/>
    <w:rsid w:val="007F4E8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F4E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4E85"/>
    <w:rPr>
      <w:rFonts w:ascii="Gothic720 BT" w:hAnsi="Gothic720 BT"/>
    </w:rPr>
  </w:style>
  <w:style w:type="table" w:styleId="Tablaconcuadrcula">
    <w:name w:val="Table Grid"/>
    <w:basedOn w:val="Tablanormal"/>
    <w:uiPriority w:val="39"/>
    <w:rsid w:val="007F4E85"/>
    <w:pPr>
      <w:spacing w:after="0" w:line="240" w:lineRule="auto"/>
    </w:pPr>
    <w:rPr>
      <w:rFonts w:ascii="Gothic720 BT" w:hAnsi="Gothic720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
    <w:link w:val="Prrafodelista"/>
    <w:uiPriority w:val="34"/>
    <w:qFormat/>
    <w:locked/>
    <w:rsid w:val="007F4E85"/>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F4E85"/>
    <w:pPr>
      <w:jc w:val="both"/>
    </w:pPr>
    <w:rPr>
      <w:rFonts w:asciiTheme="minorHAnsi" w:hAnsiTheme="minorHAnsi"/>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85"/>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7F4E85"/>
    <w:pPr>
      <w:spacing w:after="0" w:line="240" w:lineRule="auto"/>
    </w:pPr>
    <w:rPr>
      <w:rFonts w:asciiTheme="minorHAnsi" w:hAnsiTheme="minorHAnsi"/>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7F4E85"/>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7F4E85"/>
    <w:rPr>
      <w:vertAlign w:val="superscript"/>
    </w:rPr>
  </w:style>
  <w:style w:type="paragraph" w:styleId="Prrafodelista">
    <w:name w:val="List Paragraph"/>
    <w:aliases w:val="CNBV Parrafo1,Párrafo de lista1"/>
    <w:basedOn w:val="Normal"/>
    <w:link w:val="PrrafodelistaCar"/>
    <w:uiPriority w:val="34"/>
    <w:qFormat/>
    <w:rsid w:val="007F4E85"/>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F4E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4E85"/>
    <w:rPr>
      <w:rFonts w:ascii="Gothic720 BT" w:hAnsi="Gothic720 BT"/>
    </w:rPr>
  </w:style>
  <w:style w:type="table" w:styleId="Tablaconcuadrcula">
    <w:name w:val="Table Grid"/>
    <w:basedOn w:val="Tablanormal"/>
    <w:uiPriority w:val="39"/>
    <w:rsid w:val="007F4E85"/>
    <w:pPr>
      <w:spacing w:after="0" w:line="240" w:lineRule="auto"/>
    </w:pPr>
    <w:rPr>
      <w:rFonts w:ascii="Gothic720 BT" w:hAnsi="Gothic720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
    <w:link w:val="Prrafodelista"/>
    <w:uiPriority w:val="34"/>
    <w:qFormat/>
    <w:locked/>
    <w:rsid w:val="007F4E85"/>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F4E85"/>
    <w:pPr>
      <w:jc w:val="both"/>
    </w:pPr>
    <w:rPr>
      <w:rFonts w:asciiTheme="minorHAnsi" w:hAnsi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6BB0B-16BF-4E11-BB07-274E276F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Sebastian.Castro</dc:creator>
  <cp:keywords/>
  <dc:description/>
  <cp:lastModifiedBy>Sebastian.Castro</cp:lastModifiedBy>
  <cp:revision>7</cp:revision>
  <cp:lastPrinted>2021-01-04T15:06:00Z</cp:lastPrinted>
  <dcterms:created xsi:type="dcterms:W3CDTF">2021-01-04T14:49:00Z</dcterms:created>
  <dcterms:modified xsi:type="dcterms:W3CDTF">2021-01-04T18:20:00Z</dcterms:modified>
</cp:coreProperties>
</file>