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page" w:tblpX="5968" w:tblpY="2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tblGrid>
      <w:tr w:rsidR="009E3511" w:rsidTr="00D26321">
        <w:trPr>
          <w:trHeight w:val="3005"/>
        </w:trPr>
        <w:tc>
          <w:tcPr>
            <w:tcW w:w="4037" w:type="dxa"/>
          </w:tcPr>
          <w:p w:rsidR="009E3511" w:rsidRPr="00D20218" w:rsidRDefault="009E3511" w:rsidP="009E3511">
            <w:pPr>
              <w:tabs>
                <w:tab w:val="left" w:pos="5387"/>
              </w:tabs>
              <w:spacing w:after="0" w:line="276" w:lineRule="auto"/>
              <w:ind w:left="396"/>
              <w:jc w:val="both"/>
              <w:rPr>
                <w:rFonts w:cs="Arial"/>
              </w:rPr>
            </w:pPr>
          </w:p>
          <w:p w:rsidR="009E3511" w:rsidRDefault="00F85371" w:rsidP="00D26321">
            <w:pPr>
              <w:tabs>
                <w:tab w:val="left" w:pos="5387"/>
              </w:tabs>
              <w:spacing w:after="0" w:line="276" w:lineRule="auto"/>
              <w:jc w:val="both"/>
              <w:rPr>
                <w:rFonts w:cs="Arial"/>
              </w:rPr>
            </w:pPr>
            <w:r>
              <w:rPr>
                <w:rFonts w:cs="Arial"/>
                <w:b/>
              </w:rPr>
              <w:t>CUADERNO</w:t>
            </w:r>
            <w:r w:rsidR="009E3511" w:rsidRPr="00B464B5">
              <w:rPr>
                <w:rFonts w:cs="Arial"/>
                <w:b/>
              </w:rPr>
              <w:t>:</w:t>
            </w:r>
            <w:r w:rsidR="009E3511">
              <w:rPr>
                <w:rFonts w:cs="Arial"/>
              </w:rPr>
              <w:t xml:space="preserve"> IEEQ/C</w:t>
            </w:r>
            <w:r w:rsidR="009E3511" w:rsidRPr="00D20218">
              <w:rPr>
                <w:rFonts w:cs="Arial"/>
              </w:rPr>
              <w:t>/00</w:t>
            </w:r>
            <w:r w:rsidR="005B072A">
              <w:rPr>
                <w:rFonts w:cs="Arial"/>
              </w:rPr>
              <w:t>1</w:t>
            </w:r>
            <w:r w:rsidR="009E3511">
              <w:rPr>
                <w:rFonts w:cs="Arial"/>
              </w:rPr>
              <w:t>/2021</w:t>
            </w:r>
            <w:r w:rsidR="009E3511" w:rsidRPr="00D20218">
              <w:rPr>
                <w:rFonts w:cs="Arial"/>
              </w:rPr>
              <w:t xml:space="preserve">-P.  </w:t>
            </w:r>
          </w:p>
          <w:p w:rsidR="00D26321" w:rsidRDefault="00D26321" w:rsidP="00D26321">
            <w:pPr>
              <w:tabs>
                <w:tab w:val="left" w:pos="5387"/>
              </w:tabs>
              <w:spacing w:after="0" w:line="276" w:lineRule="auto"/>
              <w:jc w:val="both"/>
              <w:rPr>
                <w:rFonts w:cs="Arial"/>
              </w:rPr>
            </w:pPr>
          </w:p>
          <w:p w:rsidR="00D26321" w:rsidRPr="00D26321" w:rsidRDefault="00D26321" w:rsidP="00D26321">
            <w:pPr>
              <w:tabs>
                <w:tab w:val="left" w:pos="5387"/>
              </w:tabs>
              <w:spacing w:after="0" w:line="276" w:lineRule="auto"/>
              <w:jc w:val="both"/>
              <w:rPr>
                <w:rFonts w:cs="Arial"/>
              </w:rPr>
            </w:pPr>
            <w:r w:rsidRPr="00D26321">
              <w:rPr>
                <w:rFonts w:cs="Arial"/>
                <w:b/>
              </w:rPr>
              <w:t>REMITENTE:</w:t>
            </w:r>
            <w:r>
              <w:rPr>
                <w:rFonts w:cs="Arial"/>
              </w:rPr>
              <w:t xml:space="preserve"> TRIBUNAL ELECTORAL DEL ESTADO DE QUERÉTARO.</w:t>
            </w:r>
          </w:p>
          <w:p w:rsidR="009E3511" w:rsidRPr="00D20218" w:rsidRDefault="009E3511" w:rsidP="009E3511">
            <w:pPr>
              <w:tabs>
                <w:tab w:val="left" w:pos="5387"/>
              </w:tabs>
              <w:spacing w:after="0" w:line="276" w:lineRule="auto"/>
              <w:jc w:val="both"/>
              <w:rPr>
                <w:rFonts w:cs="Arial"/>
              </w:rPr>
            </w:pPr>
          </w:p>
          <w:p w:rsidR="009E3511" w:rsidRDefault="009E3511" w:rsidP="009E3511">
            <w:pPr>
              <w:widowControl w:val="0"/>
              <w:spacing w:after="0" w:line="276" w:lineRule="auto"/>
              <w:jc w:val="both"/>
              <w:rPr>
                <w:rFonts w:eastAsia="Arial" w:cs="Arial"/>
                <w:color w:val="000000"/>
              </w:rPr>
            </w:pPr>
            <w:r w:rsidRPr="00B464B5">
              <w:rPr>
                <w:rFonts w:cs="Arial"/>
                <w:b/>
                <w:color w:val="000000"/>
              </w:rPr>
              <w:t>ASUNTO</w:t>
            </w:r>
            <w:r w:rsidRPr="00B464B5">
              <w:rPr>
                <w:rFonts w:cs="Arial"/>
                <w:b/>
              </w:rPr>
              <w:t>:</w:t>
            </w:r>
            <w:r w:rsidRPr="00D20218">
              <w:rPr>
                <w:rFonts w:cs="Arial"/>
              </w:rPr>
              <w:t xml:space="preserve"> RECEPCIÓN</w:t>
            </w:r>
            <w:r>
              <w:rPr>
                <w:rFonts w:cs="Arial"/>
              </w:rPr>
              <w:t>.</w:t>
            </w:r>
          </w:p>
        </w:tc>
      </w:tr>
    </w:tbl>
    <w:p w:rsidR="00550B8F" w:rsidRDefault="00550B8F" w:rsidP="009E3511"/>
    <w:p w:rsidR="00550B8F" w:rsidRDefault="00550B8F" w:rsidP="009E3511">
      <w:pPr>
        <w:spacing w:after="0" w:line="276" w:lineRule="auto"/>
        <w:ind w:left="709"/>
        <w:jc w:val="both"/>
        <w:rPr>
          <w:rFonts w:cs="Arial"/>
        </w:rPr>
      </w:pPr>
    </w:p>
    <w:p w:rsidR="006F0C6C" w:rsidRDefault="006F0C6C" w:rsidP="009E3511">
      <w:pPr>
        <w:spacing w:after="0" w:line="276" w:lineRule="auto"/>
        <w:ind w:left="709"/>
        <w:jc w:val="both"/>
        <w:rPr>
          <w:rFonts w:cs="Arial"/>
        </w:rPr>
      </w:pPr>
    </w:p>
    <w:p w:rsidR="006F0C6C" w:rsidRDefault="006F0C6C" w:rsidP="009E3511">
      <w:pPr>
        <w:spacing w:after="0" w:line="276" w:lineRule="auto"/>
        <w:jc w:val="both"/>
        <w:rPr>
          <w:rFonts w:cs="Arial"/>
        </w:rPr>
      </w:pPr>
    </w:p>
    <w:p w:rsidR="006F0C6C" w:rsidRDefault="006F0C6C" w:rsidP="009E3511">
      <w:pPr>
        <w:spacing w:after="0" w:line="276" w:lineRule="auto"/>
        <w:ind w:left="709"/>
        <w:jc w:val="both"/>
        <w:rPr>
          <w:rFonts w:cs="Arial"/>
        </w:rPr>
      </w:pPr>
    </w:p>
    <w:p w:rsidR="006F0C6C" w:rsidRDefault="006F0C6C" w:rsidP="009E3511">
      <w:pPr>
        <w:spacing w:after="0" w:line="276" w:lineRule="auto"/>
        <w:ind w:left="709"/>
        <w:jc w:val="both"/>
        <w:rPr>
          <w:rFonts w:cs="Arial"/>
        </w:rPr>
      </w:pPr>
    </w:p>
    <w:p w:rsidR="00D26321" w:rsidRDefault="00D26321" w:rsidP="009E3511">
      <w:pPr>
        <w:spacing w:after="0" w:line="276" w:lineRule="auto"/>
        <w:jc w:val="both"/>
        <w:rPr>
          <w:rFonts w:cs="Arial"/>
        </w:rPr>
      </w:pPr>
    </w:p>
    <w:p w:rsidR="00D26321" w:rsidRDefault="00D26321" w:rsidP="009E3511">
      <w:pPr>
        <w:spacing w:after="0" w:line="276" w:lineRule="auto"/>
        <w:jc w:val="both"/>
        <w:rPr>
          <w:rFonts w:cs="Arial"/>
        </w:rPr>
      </w:pPr>
    </w:p>
    <w:p w:rsidR="00D26321" w:rsidRDefault="00D26321" w:rsidP="009E3511">
      <w:pPr>
        <w:spacing w:after="0" w:line="276" w:lineRule="auto"/>
        <w:jc w:val="both"/>
        <w:rPr>
          <w:rFonts w:cs="Arial"/>
        </w:rPr>
      </w:pPr>
    </w:p>
    <w:p w:rsidR="00D26321" w:rsidRDefault="00D26321" w:rsidP="009E3511">
      <w:pPr>
        <w:spacing w:after="0" w:line="276" w:lineRule="auto"/>
        <w:jc w:val="both"/>
        <w:rPr>
          <w:rFonts w:cs="Arial"/>
        </w:rPr>
      </w:pPr>
    </w:p>
    <w:p w:rsidR="00550B8F" w:rsidRPr="00D20218" w:rsidRDefault="00550B8F" w:rsidP="009E3511">
      <w:pPr>
        <w:spacing w:after="0" w:line="276" w:lineRule="auto"/>
        <w:jc w:val="both"/>
        <w:rPr>
          <w:rFonts w:cs="Arial"/>
        </w:rPr>
      </w:pPr>
      <w:r w:rsidRPr="00D20218">
        <w:rPr>
          <w:rFonts w:cs="Arial"/>
        </w:rPr>
        <w:t xml:space="preserve">Santiago de Querétaro, Querétaro, </w:t>
      </w:r>
      <w:r w:rsidR="00116FF7">
        <w:rPr>
          <w:rFonts w:cs="Arial"/>
        </w:rPr>
        <w:t>veintiocho</w:t>
      </w:r>
      <w:r w:rsidRPr="00D20218">
        <w:rPr>
          <w:rFonts w:cs="Arial"/>
        </w:rPr>
        <w:t xml:space="preserve"> de </w:t>
      </w:r>
      <w:r w:rsidR="00116FF7">
        <w:rPr>
          <w:rFonts w:cs="Arial"/>
        </w:rPr>
        <w:t>enero de dos mil veintiuno</w:t>
      </w:r>
      <w:r>
        <w:rPr>
          <w:rFonts w:cs="Arial"/>
        </w:rPr>
        <w:t>.</w:t>
      </w:r>
      <w:r w:rsidRPr="00D20218">
        <w:rPr>
          <w:rFonts w:cs="Arial"/>
          <w:vertAlign w:val="superscript"/>
        </w:rPr>
        <w:footnoteReference w:id="1"/>
      </w:r>
      <w:r w:rsidRPr="00D20218">
        <w:rPr>
          <w:rFonts w:cs="Arial"/>
        </w:rPr>
        <w:t xml:space="preserve"> </w:t>
      </w:r>
    </w:p>
    <w:p w:rsidR="00550B8F" w:rsidRPr="00D20218" w:rsidRDefault="00550B8F" w:rsidP="009E3511">
      <w:pPr>
        <w:spacing w:after="0" w:line="276" w:lineRule="auto"/>
        <w:jc w:val="both"/>
        <w:rPr>
          <w:rFonts w:cs="Arial"/>
        </w:rPr>
      </w:pPr>
    </w:p>
    <w:p w:rsidR="00550B8F" w:rsidRPr="00D20218" w:rsidRDefault="00550B8F" w:rsidP="009E3511">
      <w:pPr>
        <w:spacing w:after="0" w:line="276" w:lineRule="auto"/>
        <w:jc w:val="both"/>
        <w:rPr>
          <w:rFonts w:cs="Arial"/>
        </w:rPr>
      </w:pPr>
      <w:r w:rsidRPr="008E360D">
        <w:rPr>
          <w:rFonts w:cs="Arial"/>
          <w:b/>
        </w:rPr>
        <w:t>VISTO</w:t>
      </w:r>
      <w:r w:rsidRPr="00D20218">
        <w:rPr>
          <w:rFonts w:cs="Arial"/>
        </w:rPr>
        <w:t xml:space="preserve"> el oficio </w:t>
      </w:r>
      <w:r w:rsidR="00116FF7">
        <w:rPr>
          <w:rFonts w:cs="Arial"/>
        </w:rPr>
        <w:t>TEEQ-SGA-AC-150/2021</w:t>
      </w:r>
      <w:r w:rsidRPr="00D20218">
        <w:rPr>
          <w:rFonts w:cs="Arial"/>
        </w:rPr>
        <w:t xml:space="preserve"> recibido en la Oficialía de Partes del Instituto El</w:t>
      </w:r>
      <w:r>
        <w:rPr>
          <w:rFonts w:cs="Arial"/>
        </w:rPr>
        <w:t>ectoral del Estado de Querétaro</w:t>
      </w:r>
      <w:r>
        <w:rPr>
          <w:rStyle w:val="Refdenotaalpie"/>
          <w:rFonts w:cs="Arial"/>
        </w:rPr>
        <w:footnoteReference w:id="2"/>
      </w:r>
      <w:r>
        <w:rPr>
          <w:rFonts w:cs="Arial"/>
        </w:rPr>
        <w:t xml:space="preserve"> </w:t>
      </w:r>
      <w:r w:rsidRPr="00D20218">
        <w:rPr>
          <w:rFonts w:cs="Arial"/>
        </w:rPr>
        <w:t xml:space="preserve">y registrado con folio </w:t>
      </w:r>
      <w:r w:rsidR="00116FF7">
        <w:rPr>
          <w:rFonts w:cs="Arial"/>
        </w:rPr>
        <w:t>0222</w:t>
      </w:r>
      <w:r>
        <w:rPr>
          <w:rFonts w:cs="Arial"/>
        </w:rPr>
        <w:t>;</w:t>
      </w:r>
      <w:r w:rsidR="00AB637B">
        <w:rPr>
          <w:rFonts w:cs="Arial"/>
        </w:rPr>
        <w:t xml:space="preserve"> </w:t>
      </w:r>
      <w:r w:rsidR="00AB637B">
        <w:rPr>
          <w:rFonts w:eastAsia="Calibri" w:cs="Calibri"/>
        </w:rPr>
        <w:t>por medio del cual, la Actuaria adscrita al Tribunal Electoral del Estado de Querétaro</w:t>
      </w:r>
      <w:r w:rsidR="00AB637B">
        <w:rPr>
          <w:rStyle w:val="Refdenotaalpie"/>
          <w:rFonts w:eastAsia="Calibri" w:cs="Calibri"/>
        </w:rPr>
        <w:footnoteReference w:id="3"/>
      </w:r>
      <w:r w:rsidR="00AB637B">
        <w:rPr>
          <w:rFonts w:eastAsia="Calibri" w:cs="Calibri"/>
        </w:rPr>
        <w:t>, notifica el Acuerdo Plenario de veintiséis de enero de dos mil veintiuno;</w:t>
      </w:r>
      <w:r>
        <w:rPr>
          <w:rFonts w:cs="Arial"/>
        </w:rPr>
        <w:t xml:space="preserve"> c</w:t>
      </w:r>
      <w:r w:rsidRPr="00D20218">
        <w:rPr>
          <w:rFonts w:cs="Arial"/>
        </w:rPr>
        <w:t>on fundamen</w:t>
      </w:r>
      <w:r>
        <w:rPr>
          <w:rFonts w:cs="Arial"/>
        </w:rPr>
        <w:t>to en los artículos 77, fracciones</w:t>
      </w:r>
      <w:r w:rsidRPr="00D20218">
        <w:rPr>
          <w:rFonts w:cs="Arial"/>
        </w:rPr>
        <w:t xml:space="preserve"> </w:t>
      </w:r>
      <w:r>
        <w:rPr>
          <w:rFonts w:cs="Arial"/>
        </w:rPr>
        <w:t>V y</w:t>
      </w:r>
      <w:r w:rsidRPr="00D20218">
        <w:rPr>
          <w:rFonts w:cs="Arial"/>
        </w:rPr>
        <w:t xml:space="preserve"> XIV de la Ley Electoral del Estado de Querétaro</w:t>
      </w:r>
      <w:r>
        <w:rPr>
          <w:rFonts w:cs="Arial"/>
        </w:rPr>
        <w:t>,</w:t>
      </w:r>
      <w:r w:rsidRPr="00D20218">
        <w:rPr>
          <w:rFonts w:cs="Arial"/>
          <w:vertAlign w:val="superscript"/>
        </w:rPr>
        <w:footnoteReference w:id="4"/>
      </w:r>
      <w:r w:rsidRPr="00D20218">
        <w:rPr>
          <w:rFonts w:cs="Arial"/>
        </w:rPr>
        <w:t xml:space="preserve"> as</w:t>
      </w:r>
      <w:r w:rsidR="00D26321">
        <w:rPr>
          <w:rFonts w:cs="Arial"/>
        </w:rPr>
        <w:t>í como 44, fracción II, inciso d</w:t>
      </w:r>
      <w:r w:rsidRPr="00D20218">
        <w:rPr>
          <w:rFonts w:cs="Arial"/>
        </w:rPr>
        <w:t>) del Reglamento Interior del Instituto; la Dirección Ejecutiva de Asuntos Jurídicos</w:t>
      </w:r>
      <w:r w:rsidRPr="00D20218">
        <w:rPr>
          <w:rFonts w:cs="Arial"/>
          <w:vertAlign w:val="superscript"/>
        </w:rPr>
        <w:footnoteReference w:id="5"/>
      </w:r>
      <w:r w:rsidRPr="00D20218">
        <w:rPr>
          <w:rFonts w:cs="Arial"/>
          <w:vertAlign w:val="superscript"/>
        </w:rPr>
        <w:t xml:space="preserve">  </w:t>
      </w:r>
      <w:r w:rsidRPr="006A6DA0">
        <w:rPr>
          <w:rFonts w:cs="Arial"/>
          <w:b/>
        </w:rPr>
        <w:t>ACUERDA</w:t>
      </w:r>
      <w:r w:rsidRPr="00D20218">
        <w:rPr>
          <w:rFonts w:cs="Arial"/>
        </w:rPr>
        <w:t>:</w:t>
      </w:r>
    </w:p>
    <w:p w:rsidR="00550B8F" w:rsidRPr="00D20218" w:rsidRDefault="00550B8F" w:rsidP="009E3511">
      <w:pPr>
        <w:spacing w:after="0" w:line="276" w:lineRule="auto"/>
        <w:jc w:val="both"/>
        <w:rPr>
          <w:rFonts w:cs="Arial"/>
        </w:rPr>
      </w:pPr>
    </w:p>
    <w:p w:rsidR="00550B8F" w:rsidRPr="00D20218" w:rsidRDefault="00550B8F" w:rsidP="009E3511">
      <w:pPr>
        <w:spacing w:line="276" w:lineRule="auto"/>
        <w:jc w:val="both"/>
        <w:rPr>
          <w:rFonts w:cs="Arial"/>
        </w:rPr>
      </w:pPr>
      <w:r w:rsidRPr="006A6DA0">
        <w:rPr>
          <w:rFonts w:cs="Arial"/>
          <w:b/>
        </w:rPr>
        <w:t>PRIMERO. Recepción.</w:t>
      </w:r>
      <w:r w:rsidRPr="00D20218">
        <w:rPr>
          <w:rFonts w:cs="Arial"/>
        </w:rPr>
        <w:t xml:space="preserve"> Se tiene por recibido el </w:t>
      </w:r>
      <w:r w:rsidR="00AB637B">
        <w:rPr>
          <w:rFonts w:cs="Arial"/>
        </w:rPr>
        <w:t>oficio</w:t>
      </w:r>
      <w:r w:rsidRPr="00D20218">
        <w:rPr>
          <w:rFonts w:cs="Arial"/>
        </w:rPr>
        <w:t xml:space="preserve"> de cuenta </w:t>
      </w:r>
      <w:r>
        <w:rPr>
          <w:rFonts w:cs="Arial"/>
        </w:rPr>
        <w:t xml:space="preserve">del Tribunal Electoral del Estado de Querétaro por el </w:t>
      </w:r>
      <w:r w:rsidR="0028466C">
        <w:rPr>
          <w:rFonts w:cs="Arial"/>
        </w:rPr>
        <w:t xml:space="preserve">que se aprueba el calendario laboral para el año </w:t>
      </w:r>
      <w:proofErr w:type="gramStart"/>
      <w:r w:rsidR="0028466C">
        <w:rPr>
          <w:rFonts w:cs="Arial"/>
        </w:rPr>
        <w:t>dos mil veintiuno</w:t>
      </w:r>
      <w:proofErr w:type="gramEnd"/>
      <w:r w:rsidR="0028466C">
        <w:rPr>
          <w:rFonts w:cs="Arial"/>
        </w:rPr>
        <w:t>, consistente de</w:t>
      </w:r>
      <w:r>
        <w:rPr>
          <w:rFonts w:cs="Arial"/>
        </w:rPr>
        <w:t xml:space="preserve"> </w:t>
      </w:r>
      <w:r w:rsidR="0028466C">
        <w:rPr>
          <w:rFonts w:cs="Arial"/>
        </w:rPr>
        <w:t>cuatro</w:t>
      </w:r>
      <w:r>
        <w:rPr>
          <w:rFonts w:cs="Arial"/>
        </w:rPr>
        <w:t xml:space="preserve"> fojas</w:t>
      </w:r>
      <w:r w:rsidR="0028466C">
        <w:rPr>
          <w:rFonts w:cs="Arial"/>
        </w:rPr>
        <w:t xml:space="preserve"> en siete páginas con texto. </w:t>
      </w:r>
      <w:r>
        <w:rPr>
          <w:rFonts w:cs="Arial"/>
        </w:rPr>
        <w:t xml:space="preserve">Documentación que se ordena agregar al expediente para que obre como corresponda. </w:t>
      </w:r>
    </w:p>
    <w:p w:rsidR="00550B8F" w:rsidRDefault="00550B8F" w:rsidP="009E3511">
      <w:pPr>
        <w:spacing w:after="0" w:line="276" w:lineRule="auto"/>
        <w:jc w:val="both"/>
        <w:rPr>
          <w:rFonts w:cs="Arial"/>
        </w:rPr>
      </w:pPr>
      <w:bookmarkStart w:id="0" w:name="_gjdgxs" w:colFirst="0" w:colLast="0"/>
      <w:bookmarkEnd w:id="0"/>
      <w:r w:rsidRPr="005E46C2">
        <w:rPr>
          <w:rFonts w:cs="Arial"/>
          <w:b/>
        </w:rPr>
        <w:t>SEGUNDO.</w:t>
      </w:r>
      <w:r>
        <w:rPr>
          <w:rFonts w:cs="Arial"/>
          <w:b/>
        </w:rPr>
        <w:t xml:space="preserve"> </w:t>
      </w:r>
      <w:r w:rsidR="00AA3690">
        <w:rPr>
          <w:rFonts w:cs="Arial"/>
          <w:b/>
        </w:rPr>
        <w:t xml:space="preserve">Registro. </w:t>
      </w:r>
      <w:r w:rsidR="006F0C6C">
        <w:rPr>
          <w:rFonts w:cs="Arial"/>
        </w:rPr>
        <w:t>D</w:t>
      </w:r>
      <w:r w:rsidR="006F0C6C" w:rsidRPr="00D20218">
        <w:rPr>
          <w:rFonts w:cs="Arial"/>
        </w:rPr>
        <w:t xml:space="preserve">e </w:t>
      </w:r>
      <w:r w:rsidR="006F0C6C">
        <w:rPr>
          <w:rFonts w:cs="Arial"/>
        </w:rPr>
        <w:t xml:space="preserve">conformidad con </w:t>
      </w:r>
      <w:r w:rsidR="006F0C6C" w:rsidRPr="00D20218">
        <w:rPr>
          <w:rFonts w:cs="Arial"/>
        </w:rPr>
        <w:t xml:space="preserve">los Lineamientos Generales para la Identificación e Integración de </w:t>
      </w:r>
      <w:r w:rsidR="0028466C">
        <w:rPr>
          <w:rFonts w:cs="Arial"/>
        </w:rPr>
        <w:t>Cuaderno</w:t>
      </w:r>
      <w:r w:rsidR="006F0C6C" w:rsidRPr="00D20218">
        <w:rPr>
          <w:rFonts w:cs="Arial"/>
        </w:rPr>
        <w:t xml:space="preserve"> del Instituto Electoral del Estado de Querétaro, </w:t>
      </w:r>
      <w:r w:rsidR="006F0C6C">
        <w:rPr>
          <w:rFonts w:cs="Arial"/>
        </w:rPr>
        <w:t xml:space="preserve">regístrese </w:t>
      </w:r>
      <w:r w:rsidR="006F0C6C" w:rsidRPr="00D20218">
        <w:rPr>
          <w:rFonts w:cs="Arial"/>
        </w:rPr>
        <w:t xml:space="preserve">en el Libro de Gobierno de la Secretaría Ejecutiva del Instituto, </w:t>
      </w:r>
      <w:r w:rsidR="006F0C6C">
        <w:rPr>
          <w:rFonts w:cs="Arial"/>
        </w:rPr>
        <w:t>como</w:t>
      </w:r>
      <w:r w:rsidR="006F0C6C" w:rsidRPr="00D20218">
        <w:rPr>
          <w:rFonts w:cs="Arial"/>
        </w:rPr>
        <w:t xml:space="preserve"> </w:t>
      </w:r>
      <w:r w:rsidR="0028466C">
        <w:rPr>
          <w:rFonts w:cs="Arial"/>
        </w:rPr>
        <w:t>cuaderno</w:t>
      </w:r>
      <w:r w:rsidR="006F0C6C">
        <w:rPr>
          <w:rFonts w:cs="Arial"/>
        </w:rPr>
        <w:t xml:space="preserve"> </w:t>
      </w:r>
      <w:r w:rsidR="006F0C6C" w:rsidRPr="00D20218">
        <w:rPr>
          <w:rFonts w:cs="Arial"/>
        </w:rPr>
        <w:t>con clave IEEQ/</w:t>
      </w:r>
      <w:r w:rsidR="0028466C">
        <w:rPr>
          <w:rFonts w:cs="Arial"/>
        </w:rPr>
        <w:t>C</w:t>
      </w:r>
      <w:r w:rsidR="006F0C6C" w:rsidRPr="00D20218">
        <w:rPr>
          <w:rFonts w:cs="Arial"/>
        </w:rPr>
        <w:t>/00</w:t>
      </w:r>
      <w:r w:rsidR="005B072A">
        <w:rPr>
          <w:rFonts w:cs="Arial"/>
        </w:rPr>
        <w:t>1</w:t>
      </w:r>
      <w:r w:rsidR="0028466C">
        <w:rPr>
          <w:rFonts w:cs="Arial"/>
        </w:rPr>
        <w:t>/2021</w:t>
      </w:r>
      <w:r w:rsidR="006F0C6C" w:rsidRPr="00D20218">
        <w:rPr>
          <w:rFonts w:cs="Arial"/>
        </w:rPr>
        <w:t>-P</w:t>
      </w:r>
      <w:r w:rsidR="006F0C6C">
        <w:rPr>
          <w:rFonts w:cs="Arial"/>
        </w:rPr>
        <w:t>, lo anterior</w:t>
      </w:r>
      <w:r w:rsidR="0028466C">
        <w:rPr>
          <w:rFonts w:cs="Arial"/>
        </w:rPr>
        <w:t xml:space="preserve"> para archivar los acuerdos emitidos por el Tribunal Electoral que no tengan relación con un procedimiento sancionador.</w:t>
      </w:r>
      <w:r w:rsidR="00560582">
        <w:rPr>
          <w:rFonts w:cs="Arial"/>
        </w:rPr>
        <w:t xml:space="preserve"> </w:t>
      </w:r>
    </w:p>
    <w:p w:rsidR="006F0C6C" w:rsidRDefault="006F0C6C" w:rsidP="009E3511">
      <w:pPr>
        <w:spacing w:after="0" w:line="276" w:lineRule="auto"/>
        <w:jc w:val="both"/>
        <w:rPr>
          <w:rFonts w:cs="Arial"/>
          <w:b/>
        </w:rPr>
      </w:pPr>
    </w:p>
    <w:p w:rsidR="00823C2D" w:rsidRPr="009E3511" w:rsidRDefault="006F0C6C" w:rsidP="009E3511">
      <w:pPr>
        <w:spacing w:after="0" w:line="276" w:lineRule="auto"/>
        <w:jc w:val="both"/>
        <w:rPr>
          <w:rFonts w:cs="Arial"/>
        </w:rPr>
      </w:pPr>
      <w:r>
        <w:rPr>
          <w:rFonts w:cs="Arial"/>
          <w:b/>
        </w:rPr>
        <w:lastRenderedPageBreak/>
        <w:t xml:space="preserve">TERCERO. Posteriores actuaciones. </w:t>
      </w:r>
      <w:r>
        <w:rPr>
          <w:rFonts w:cs="Arial"/>
        </w:rPr>
        <w:t xml:space="preserve">Se ordena agregar </w:t>
      </w:r>
      <w:r w:rsidR="00F85371">
        <w:rPr>
          <w:rFonts w:cs="Arial"/>
        </w:rPr>
        <w:t xml:space="preserve">los oficios de referencia </w:t>
      </w:r>
      <w:r>
        <w:rPr>
          <w:rFonts w:cs="Arial"/>
        </w:rPr>
        <w:t xml:space="preserve">al </w:t>
      </w:r>
      <w:r w:rsidR="00F85371">
        <w:rPr>
          <w:rFonts w:cs="Arial"/>
        </w:rPr>
        <w:t>cuaderno</w:t>
      </w:r>
      <w:r>
        <w:rPr>
          <w:rFonts w:cs="Arial"/>
        </w:rPr>
        <w:t xml:space="preserve"> </w:t>
      </w:r>
      <w:r w:rsidR="00F85371">
        <w:rPr>
          <w:rFonts w:cs="Arial"/>
        </w:rPr>
        <w:t xml:space="preserve">al rubro citado, toda vez que el mismo se registró a efecto </w:t>
      </w:r>
      <w:r w:rsidR="00D26321">
        <w:rPr>
          <w:rFonts w:cs="Arial"/>
        </w:rPr>
        <w:t xml:space="preserve">de atender las promociones </w:t>
      </w:r>
      <w:r w:rsidR="00F85371">
        <w:rPr>
          <w:rFonts w:cs="Arial"/>
        </w:rPr>
        <w:t xml:space="preserve">que no se encuentren dirigidos </w:t>
      </w:r>
      <w:r w:rsidR="006D1387">
        <w:rPr>
          <w:rFonts w:cs="Arial"/>
        </w:rPr>
        <w:t>a algún procedimiento, lo anterior con fundamento en lo dispuesto por el artículo segundo de la fracción V de los Lineamientos Generales para la identificación e Integración de Expedientes del Instituto Electoral de Querétaro.</w:t>
      </w:r>
    </w:p>
    <w:p w:rsidR="00823C2D" w:rsidRDefault="00823C2D" w:rsidP="009E3511">
      <w:pPr>
        <w:spacing w:after="0" w:line="276" w:lineRule="auto"/>
        <w:jc w:val="both"/>
        <w:rPr>
          <w:rFonts w:cs="Arial"/>
          <w:b/>
        </w:rPr>
      </w:pPr>
    </w:p>
    <w:p w:rsidR="00550B8F" w:rsidRPr="0005643C" w:rsidRDefault="00550B8F" w:rsidP="009E3511">
      <w:pPr>
        <w:spacing w:after="0" w:line="276" w:lineRule="auto"/>
        <w:jc w:val="both"/>
        <w:rPr>
          <w:rFonts w:cs="Arial"/>
          <w:b/>
        </w:rPr>
      </w:pPr>
      <w:r w:rsidRPr="0005643C">
        <w:rPr>
          <w:rFonts w:cs="Arial"/>
          <w:b/>
        </w:rPr>
        <w:t xml:space="preserve">Notifíquese por estrados </w:t>
      </w:r>
      <w:r>
        <w:rPr>
          <w:rFonts w:cs="Arial"/>
          <w:b/>
        </w:rPr>
        <w:t xml:space="preserve">de conformidad con </w:t>
      </w:r>
      <w:r w:rsidRPr="0005643C">
        <w:rPr>
          <w:rFonts w:cs="Arial"/>
          <w:b/>
        </w:rPr>
        <w:t xml:space="preserve">los artículos 3 de </w:t>
      </w:r>
      <w:r>
        <w:rPr>
          <w:rFonts w:cs="Arial"/>
          <w:b/>
        </w:rPr>
        <w:t>la Ley Electoral; 50, fracción</w:t>
      </w:r>
      <w:r w:rsidRPr="0005643C">
        <w:rPr>
          <w:rFonts w:cs="Arial"/>
          <w:b/>
        </w:rPr>
        <w:t xml:space="preserve"> II, 52</w:t>
      </w:r>
      <w:r>
        <w:rPr>
          <w:rFonts w:cs="Arial"/>
          <w:b/>
        </w:rPr>
        <w:t xml:space="preserve"> </w:t>
      </w:r>
      <w:r w:rsidRPr="0005643C">
        <w:rPr>
          <w:rFonts w:cs="Arial"/>
          <w:b/>
        </w:rPr>
        <w:t xml:space="preserve">y </w:t>
      </w:r>
      <w:r w:rsidR="00DC22D8">
        <w:rPr>
          <w:rFonts w:cs="Arial"/>
          <w:b/>
        </w:rPr>
        <w:t>56, fracción</w:t>
      </w:r>
      <w:r w:rsidRPr="0005643C">
        <w:rPr>
          <w:rFonts w:cs="Arial"/>
          <w:b/>
        </w:rPr>
        <w:t xml:space="preserve"> II de la Ley de Medios de Impugnación en Materia Electoral del Estado de Querétaro.</w:t>
      </w:r>
    </w:p>
    <w:p w:rsidR="00550B8F" w:rsidRDefault="00550B8F" w:rsidP="009E3511">
      <w:pPr>
        <w:spacing w:after="0" w:line="240" w:lineRule="auto"/>
        <w:jc w:val="both"/>
        <w:rPr>
          <w:rFonts w:cs="Arial"/>
        </w:rPr>
      </w:pPr>
    </w:p>
    <w:p w:rsidR="00550B8F" w:rsidRPr="00D20218" w:rsidRDefault="00550B8F" w:rsidP="009E3511">
      <w:pPr>
        <w:spacing w:after="0" w:line="240" w:lineRule="auto"/>
        <w:jc w:val="both"/>
        <w:rPr>
          <w:rFonts w:cs="Arial"/>
        </w:rPr>
      </w:pPr>
      <w:r w:rsidRPr="00D20218">
        <w:rPr>
          <w:rFonts w:cs="Arial"/>
        </w:rPr>
        <w:t xml:space="preserve">Así lo proveyó y firmó el Director Ejecutivo de Asuntos Jurídicos del Instituto, quien autoriza. </w:t>
      </w:r>
      <w:r w:rsidRPr="00F548A9">
        <w:rPr>
          <w:rFonts w:cs="Arial"/>
          <w:b/>
        </w:rPr>
        <w:t>CONSTE.</w:t>
      </w:r>
    </w:p>
    <w:p w:rsidR="00550B8F" w:rsidRPr="00D20218" w:rsidRDefault="00550B8F" w:rsidP="009E3511">
      <w:pPr>
        <w:spacing w:after="0" w:line="240" w:lineRule="auto"/>
        <w:jc w:val="center"/>
        <w:rPr>
          <w:rFonts w:cs="Arial"/>
        </w:rPr>
      </w:pPr>
    </w:p>
    <w:p w:rsidR="00550B8F" w:rsidRPr="00D20218" w:rsidRDefault="00550B8F" w:rsidP="009E3511">
      <w:pPr>
        <w:spacing w:after="0" w:line="240" w:lineRule="auto"/>
        <w:jc w:val="center"/>
        <w:rPr>
          <w:rFonts w:cs="Arial"/>
        </w:rPr>
      </w:pPr>
    </w:p>
    <w:p w:rsidR="00550B8F" w:rsidRPr="00D20218" w:rsidRDefault="00550B8F" w:rsidP="009E3511">
      <w:pPr>
        <w:spacing w:after="0" w:line="240" w:lineRule="auto"/>
        <w:jc w:val="center"/>
        <w:rPr>
          <w:rFonts w:cs="Arial"/>
        </w:rPr>
      </w:pPr>
    </w:p>
    <w:p w:rsidR="00550B8F" w:rsidRPr="00D20218" w:rsidRDefault="00550B8F" w:rsidP="009E3511">
      <w:pPr>
        <w:spacing w:after="0" w:line="240" w:lineRule="auto"/>
        <w:jc w:val="center"/>
        <w:rPr>
          <w:rFonts w:cs="Arial"/>
        </w:rPr>
      </w:pPr>
    </w:p>
    <w:p w:rsidR="00550B8F" w:rsidRPr="00D20218" w:rsidRDefault="00550B8F" w:rsidP="009E3511">
      <w:pPr>
        <w:spacing w:after="0" w:line="240" w:lineRule="auto"/>
        <w:jc w:val="center"/>
        <w:rPr>
          <w:rFonts w:cs="Arial"/>
        </w:rPr>
      </w:pPr>
    </w:p>
    <w:p w:rsidR="00550B8F" w:rsidRPr="00724A35" w:rsidRDefault="00550B8F" w:rsidP="009E3511">
      <w:pPr>
        <w:spacing w:after="0" w:line="240" w:lineRule="auto"/>
        <w:jc w:val="center"/>
        <w:rPr>
          <w:rFonts w:cs="Arial"/>
          <w:b/>
        </w:rPr>
      </w:pPr>
      <w:r w:rsidRPr="00724A35">
        <w:rPr>
          <w:rFonts w:cs="Arial"/>
          <w:b/>
        </w:rPr>
        <w:t>Dr. Juan Rivera Hernández</w:t>
      </w:r>
    </w:p>
    <w:p w:rsidR="00550B8F" w:rsidRPr="00D20218" w:rsidRDefault="00550B8F" w:rsidP="009E3511">
      <w:pPr>
        <w:spacing w:after="0" w:line="240" w:lineRule="auto"/>
        <w:jc w:val="center"/>
        <w:rPr>
          <w:rFonts w:cs="Arial"/>
        </w:rPr>
      </w:pPr>
      <w:r w:rsidRPr="00D20218">
        <w:rPr>
          <w:rFonts w:cs="Arial"/>
        </w:rPr>
        <w:t>Director Ejecutivo de Asuntos Jurídicos</w:t>
      </w:r>
    </w:p>
    <w:p w:rsidR="00550B8F" w:rsidRPr="00D20218" w:rsidRDefault="00550B8F" w:rsidP="009E3511">
      <w:pPr>
        <w:tabs>
          <w:tab w:val="left" w:pos="5387"/>
        </w:tabs>
        <w:spacing w:after="0" w:line="276" w:lineRule="auto"/>
        <w:jc w:val="both"/>
        <w:rPr>
          <w:rFonts w:cs="Arial"/>
          <w:color w:val="000000"/>
        </w:rPr>
      </w:pPr>
    </w:p>
    <w:p w:rsidR="00550B8F" w:rsidRPr="00D20218" w:rsidRDefault="00550B8F" w:rsidP="009E3511">
      <w:pPr>
        <w:tabs>
          <w:tab w:val="left" w:pos="5387"/>
        </w:tabs>
        <w:spacing w:after="0" w:line="276" w:lineRule="auto"/>
        <w:jc w:val="both"/>
        <w:rPr>
          <w:rFonts w:cs="Arial"/>
          <w:color w:val="000000"/>
        </w:rPr>
      </w:pPr>
    </w:p>
    <w:p w:rsidR="00550B8F" w:rsidRPr="00D20218" w:rsidRDefault="00550B8F" w:rsidP="009E3511">
      <w:pPr>
        <w:tabs>
          <w:tab w:val="left" w:pos="5387"/>
        </w:tabs>
        <w:spacing w:after="0" w:line="276" w:lineRule="auto"/>
        <w:jc w:val="both"/>
        <w:rPr>
          <w:rFonts w:cs="Arial"/>
          <w:color w:val="000000"/>
        </w:rPr>
      </w:pPr>
    </w:p>
    <w:p w:rsidR="00550B8F" w:rsidRDefault="00550B8F" w:rsidP="009E3511">
      <w:pPr>
        <w:tabs>
          <w:tab w:val="left" w:pos="5387"/>
        </w:tabs>
        <w:spacing w:after="0" w:line="276" w:lineRule="auto"/>
        <w:jc w:val="both"/>
        <w:rPr>
          <w:rFonts w:cs="Arial"/>
          <w:color w:val="000000"/>
        </w:rPr>
      </w:pPr>
    </w:p>
    <w:p w:rsidR="00823C2D" w:rsidRDefault="00823C2D" w:rsidP="009E3511">
      <w:pPr>
        <w:tabs>
          <w:tab w:val="left" w:pos="5387"/>
        </w:tabs>
        <w:spacing w:after="0" w:line="276" w:lineRule="auto"/>
        <w:jc w:val="both"/>
        <w:rPr>
          <w:rFonts w:cs="Arial"/>
          <w:color w:val="000000"/>
        </w:rPr>
      </w:pPr>
    </w:p>
    <w:p w:rsidR="00823C2D" w:rsidRPr="00D20218" w:rsidRDefault="00823C2D" w:rsidP="009E3511">
      <w:pPr>
        <w:tabs>
          <w:tab w:val="left" w:pos="5387"/>
        </w:tabs>
        <w:spacing w:after="0" w:line="276" w:lineRule="auto"/>
        <w:jc w:val="both"/>
        <w:rPr>
          <w:rFonts w:cs="Arial"/>
          <w:color w:val="000000"/>
        </w:rPr>
      </w:pPr>
      <w:r w:rsidRPr="00724A35">
        <w:rPr>
          <w:rFonts w:cs="Arial"/>
          <w:b/>
          <w:color w:val="000000"/>
        </w:rPr>
        <w:t>CONSTANCIA DE REGISTRO DE EXPEDIENTE.</w:t>
      </w:r>
      <w:r w:rsidRPr="00D20218">
        <w:rPr>
          <w:rFonts w:cs="Arial"/>
          <w:color w:val="000000"/>
        </w:rPr>
        <w:t xml:space="preserve"> En Santiago de </w:t>
      </w:r>
      <w:r w:rsidR="006D1387">
        <w:rPr>
          <w:rFonts w:cs="Arial"/>
          <w:color w:val="000000"/>
        </w:rPr>
        <w:t>Querétaro, Querétaro, veintiocho</w:t>
      </w:r>
      <w:r w:rsidRPr="00D20218">
        <w:rPr>
          <w:rFonts w:cs="Arial"/>
          <w:color w:val="000000"/>
        </w:rPr>
        <w:t xml:space="preserve"> de </w:t>
      </w:r>
      <w:r w:rsidR="006D1387">
        <w:rPr>
          <w:rFonts w:cs="Arial"/>
          <w:color w:val="000000"/>
        </w:rPr>
        <w:t xml:space="preserve">enero de </w:t>
      </w:r>
      <w:proofErr w:type="gramStart"/>
      <w:r w:rsidR="006D1387">
        <w:rPr>
          <w:rFonts w:cs="Arial"/>
          <w:color w:val="000000"/>
        </w:rPr>
        <w:t>dos mil veintiuno</w:t>
      </w:r>
      <w:proofErr w:type="gramEnd"/>
      <w:r w:rsidRPr="00D20218">
        <w:rPr>
          <w:rFonts w:cs="Arial"/>
          <w:color w:val="000000"/>
        </w:rPr>
        <w:t xml:space="preserve">, el Dr. Juan Rivera Hernández, Director Ejecutivo de Asuntos Jurídicos hace constar que se registró en el libro correspondiente, el </w:t>
      </w:r>
      <w:r w:rsidR="006D1387">
        <w:rPr>
          <w:rFonts w:cs="Arial"/>
          <w:color w:val="000000"/>
        </w:rPr>
        <w:t>cuaderno</w:t>
      </w:r>
      <w:r w:rsidRPr="00D20218">
        <w:rPr>
          <w:rFonts w:cs="Arial"/>
          <w:color w:val="000000"/>
        </w:rPr>
        <w:t xml:space="preserve"> que nos ocupa, asignándole el número </w:t>
      </w:r>
      <w:r w:rsidR="006D1387">
        <w:rPr>
          <w:rFonts w:cs="Arial"/>
        </w:rPr>
        <w:t>IEEQ/C/</w:t>
      </w:r>
      <w:r w:rsidR="005B072A">
        <w:rPr>
          <w:rFonts w:cs="Arial"/>
        </w:rPr>
        <w:t>001</w:t>
      </w:r>
      <w:r w:rsidR="006D1387">
        <w:rPr>
          <w:rFonts w:cs="Arial"/>
        </w:rPr>
        <w:t>/2021</w:t>
      </w:r>
      <w:r w:rsidRPr="00D20218">
        <w:rPr>
          <w:rFonts w:cs="Arial"/>
        </w:rPr>
        <w:t>-P</w:t>
      </w:r>
      <w:r w:rsidRPr="00D20218">
        <w:rPr>
          <w:rFonts w:cs="Arial"/>
          <w:color w:val="000000"/>
        </w:rPr>
        <w:t>, con fundamento en el artículo</w:t>
      </w:r>
      <w:r w:rsidR="007119F4">
        <w:rPr>
          <w:rFonts w:cs="Arial"/>
          <w:color w:val="000000"/>
        </w:rPr>
        <w:t xml:space="preserve"> </w:t>
      </w:r>
      <w:r w:rsidRPr="00D20218">
        <w:rPr>
          <w:rFonts w:cs="Arial"/>
          <w:color w:val="000000"/>
        </w:rPr>
        <w:t xml:space="preserve">77, fracción V de la Ley Electoral. </w:t>
      </w:r>
      <w:r w:rsidRPr="00724A35">
        <w:rPr>
          <w:rFonts w:cs="Arial"/>
          <w:b/>
          <w:color w:val="000000"/>
        </w:rPr>
        <w:t>CONSTE</w:t>
      </w:r>
      <w:r w:rsidRPr="001023C2">
        <w:rPr>
          <w:rFonts w:cs="Arial"/>
          <w:b/>
          <w:color w:val="000000"/>
        </w:rPr>
        <w:t>.</w:t>
      </w:r>
    </w:p>
    <w:p w:rsidR="00823C2D" w:rsidRPr="00D20218" w:rsidRDefault="00823C2D" w:rsidP="009E3511">
      <w:pPr>
        <w:tabs>
          <w:tab w:val="left" w:pos="5387"/>
        </w:tabs>
        <w:spacing w:after="0" w:line="276" w:lineRule="auto"/>
        <w:jc w:val="both"/>
        <w:rPr>
          <w:rFonts w:cs="Arial"/>
          <w:color w:val="000000"/>
        </w:rPr>
      </w:pPr>
    </w:p>
    <w:p w:rsidR="00823C2D" w:rsidRPr="00D20218" w:rsidRDefault="00823C2D" w:rsidP="009E3511">
      <w:pPr>
        <w:tabs>
          <w:tab w:val="left" w:pos="5387"/>
        </w:tabs>
        <w:spacing w:after="0" w:line="276" w:lineRule="auto"/>
        <w:jc w:val="both"/>
        <w:rPr>
          <w:rFonts w:cs="Arial"/>
          <w:color w:val="000000"/>
        </w:rPr>
      </w:pPr>
    </w:p>
    <w:p w:rsidR="00823C2D" w:rsidRPr="00D20218" w:rsidRDefault="00823C2D" w:rsidP="009E3511">
      <w:pPr>
        <w:tabs>
          <w:tab w:val="left" w:pos="5387"/>
        </w:tabs>
        <w:spacing w:after="0" w:line="276" w:lineRule="auto"/>
        <w:jc w:val="both"/>
        <w:rPr>
          <w:rFonts w:cs="Arial"/>
          <w:color w:val="000000"/>
        </w:rPr>
      </w:pPr>
    </w:p>
    <w:p w:rsidR="00823C2D" w:rsidRPr="000746B8" w:rsidRDefault="00823C2D" w:rsidP="009E3511">
      <w:pPr>
        <w:tabs>
          <w:tab w:val="left" w:pos="5387"/>
        </w:tabs>
        <w:spacing w:after="0" w:line="276" w:lineRule="auto"/>
        <w:jc w:val="center"/>
        <w:rPr>
          <w:rFonts w:cs="Arial"/>
          <w:b/>
          <w:color w:val="000000"/>
        </w:rPr>
      </w:pPr>
      <w:r w:rsidRPr="000746B8">
        <w:rPr>
          <w:rFonts w:cs="Arial"/>
          <w:b/>
          <w:color w:val="000000"/>
        </w:rPr>
        <w:t>Dr. Juan Rivera Hernández</w:t>
      </w:r>
    </w:p>
    <w:p w:rsidR="00823C2D" w:rsidRDefault="00823C2D" w:rsidP="009E3511">
      <w:pPr>
        <w:tabs>
          <w:tab w:val="left" w:pos="5387"/>
        </w:tabs>
        <w:spacing w:after="0" w:line="276" w:lineRule="auto"/>
        <w:jc w:val="center"/>
        <w:rPr>
          <w:rFonts w:cs="Arial"/>
          <w:color w:val="000000"/>
        </w:rPr>
      </w:pPr>
      <w:r w:rsidRPr="00D20218">
        <w:rPr>
          <w:rFonts w:cs="Arial"/>
          <w:color w:val="000000"/>
        </w:rPr>
        <w:t>Director Ejecutivo de Asuntos Jurídicos</w:t>
      </w:r>
    </w:p>
    <w:p w:rsidR="00247624" w:rsidRDefault="00247624" w:rsidP="009E3511">
      <w:pPr>
        <w:tabs>
          <w:tab w:val="left" w:pos="5387"/>
        </w:tabs>
        <w:spacing w:after="0" w:line="276" w:lineRule="auto"/>
        <w:jc w:val="center"/>
        <w:rPr>
          <w:rFonts w:cs="Arial"/>
          <w:color w:val="000000"/>
        </w:rPr>
      </w:pPr>
    </w:p>
    <w:p w:rsidR="00247624" w:rsidRDefault="00247624" w:rsidP="009E3511">
      <w:pPr>
        <w:tabs>
          <w:tab w:val="left" w:pos="5387"/>
        </w:tabs>
        <w:spacing w:after="0" w:line="276" w:lineRule="auto"/>
        <w:jc w:val="center"/>
        <w:rPr>
          <w:rFonts w:cs="Arial"/>
          <w:color w:val="000000"/>
        </w:rPr>
      </w:pPr>
    </w:p>
    <w:p w:rsidR="00D26321" w:rsidRDefault="00D26321" w:rsidP="00D26321">
      <w:pPr>
        <w:framePr w:w="4648" w:hSpace="141" w:wrap="around" w:vAnchor="page" w:hAnchor="page" w:x="5815" w:y="2161"/>
        <w:tabs>
          <w:tab w:val="left" w:pos="5387"/>
        </w:tabs>
        <w:spacing w:after="0" w:line="276" w:lineRule="auto"/>
        <w:jc w:val="both"/>
        <w:rPr>
          <w:rFonts w:cs="Arial"/>
        </w:rPr>
      </w:pPr>
      <w:r>
        <w:rPr>
          <w:rFonts w:cs="Arial"/>
          <w:b/>
        </w:rPr>
        <w:lastRenderedPageBreak/>
        <w:t>CUADERNO</w:t>
      </w:r>
      <w:r w:rsidRPr="00B464B5">
        <w:rPr>
          <w:rFonts w:cs="Arial"/>
          <w:b/>
        </w:rPr>
        <w:t>:</w:t>
      </w:r>
      <w:r>
        <w:rPr>
          <w:rFonts w:cs="Arial"/>
        </w:rPr>
        <w:t xml:space="preserve"> IEEQ/C</w:t>
      </w:r>
      <w:r w:rsidRPr="00D20218">
        <w:rPr>
          <w:rFonts w:cs="Arial"/>
        </w:rPr>
        <w:t>/00</w:t>
      </w:r>
      <w:r>
        <w:rPr>
          <w:rFonts w:cs="Arial"/>
        </w:rPr>
        <w:t>1/2021</w:t>
      </w:r>
      <w:r w:rsidRPr="00D20218">
        <w:rPr>
          <w:rFonts w:cs="Arial"/>
        </w:rPr>
        <w:t xml:space="preserve">-P.  </w:t>
      </w:r>
    </w:p>
    <w:p w:rsidR="00D26321" w:rsidRDefault="00D26321" w:rsidP="00D26321">
      <w:pPr>
        <w:framePr w:w="4648" w:hSpace="141" w:wrap="around" w:vAnchor="page" w:hAnchor="page" w:x="5815" w:y="2161"/>
        <w:tabs>
          <w:tab w:val="left" w:pos="5387"/>
        </w:tabs>
        <w:spacing w:after="0" w:line="276" w:lineRule="auto"/>
        <w:jc w:val="both"/>
        <w:rPr>
          <w:rFonts w:cs="Arial"/>
        </w:rPr>
      </w:pPr>
    </w:p>
    <w:p w:rsidR="00D26321" w:rsidRPr="00D20218" w:rsidRDefault="00D26321" w:rsidP="00D26321">
      <w:pPr>
        <w:framePr w:w="4648" w:hSpace="141" w:wrap="around" w:vAnchor="page" w:hAnchor="page" w:x="5815" w:y="2161"/>
        <w:tabs>
          <w:tab w:val="left" w:pos="5387"/>
        </w:tabs>
        <w:spacing w:after="0" w:line="276" w:lineRule="auto"/>
        <w:jc w:val="both"/>
        <w:rPr>
          <w:rFonts w:cs="Arial"/>
        </w:rPr>
      </w:pPr>
      <w:r w:rsidRPr="00D26321">
        <w:rPr>
          <w:rFonts w:cs="Arial"/>
          <w:b/>
        </w:rPr>
        <w:t>REMITENTE:</w:t>
      </w:r>
      <w:r>
        <w:rPr>
          <w:rFonts w:cs="Arial"/>
        </w:rPr>
        <w:t xml:space="preserve"> TRIBUNAL ELECTORAL DEL ESTADO DE QUERÉTARO.</w:t>
      </w:r>
    </w:p>
    <w:p w:rsidR="00247624" w:rsidRDefault="00247624" w:rsidP="00823C2D">
      <w:pPr>
        <w:tabs>
          <w:tab w:val="left" w:pos="5387"/>
        </w:tabs>
        <w:spacing w:after="0" w:line="276" w:lineRule="auto"/>
        <w:jc w:val="center"/>
        <w:rPr>
          <w:rFonts w:cs="Arial"/>
          <w:color w:val="000000"/>
        </w:rPr>
      </w:pPr>
    </w:p>
    <w:p w:rsidR="00247624" w:rsidRDefault="00247624" w:rsidP="00823C2D">
      <w:pPr>
        <w:tabs>
          <w:tab w:val="left" w:pos="5387"/>
        </w:tabs>
        <w:spacing w:after="0" w:line="276" w:lineRule="auto"/>
        <w:jc w:val="center"/>
        <w:rPr>
          <w:rFonts w:cs="Arial"/>
          <w:color w:val="000000"/>
        </w:rPr>
      </w:pPr>
    </w:p>
    <w:p w:rsidR="00247624" w:rsidRDefault="00247624" w:rsidP="00823C2D">
      <w:pPr>
        <w:tabs>
          <w:tab w:val="left" w:pos="5387"/>
        </w:tabs>
        <w:spacing w:after="0" w:line="276" w:lineRule="auto"/>
        <w:jc w:val="center"/>
        <w:rPr>
          <w:rFonts w:cs="Arial"/>
          <w:color w:val="000000"/>
        </w:rPr>
      </w:pPr>
    </w:p>
    <w:p w:rsidR="00247624" w:rsidRDefault="00247624" w:rsidP="00D26321">
      <w:pPr>
        <w:tabs>
          <w:tab w:val="left" w:pos="5387"/>
        </w:tabs>
        <w:spacing w:after="0" w:line="276" w:lineRule="auto"/>
        <w:rPr>
          <w:rFonts w:cs="Arial"/>
          <w:color w:val="000000"/>
        </w:rPr>
      </w:pPr>
    </w:p>
    <w:p w:rsidR="00247624" w:rsidRDefault="00247624" w:rsidP="00823C2D">
      <w:pPr>
        <w:tabs>
          <w:tab w:val="left" w:pos="5387"/>
        </w:tabs>
        <w:spacing w:after="0" w:line="276" w:lineRule="auto"/>
        <w:jc w:val="center"/>
        <w:rPr>
          <w:rFonts w:cs="Arial"/>
          <w:color w:val="000000"/>
        </w:rPr>
      </w:pPr>
    </w:p>
    <w:p w:rsidR="00247624" w:rsidRPr="00D20218" w:rsidRDefault="00D26321" w:rsidP="00D26321">
      <w:pPr>
        <w:tabs>
          <w:tab w:val="left" w:pos="5387"/>
        </w:tabs>
        <w:spacing w:after="0" w:line="276" w:lineRule="auto"/>
        <w:ind w:left="3402" w:firstLine="142"/>
        <w:jc w:val="both"/>
        <w:rPr>
          <w:rFonts w:cs="Arial"/>
          <w:color w:val="000000"/>
        </w:rPr>
      </w:pPr>
      <w:r w:rsidRPr="00B464B5">
        <w:rPr>
          <w:rFonts w:cs="Arial"/>
          <w:b/>
          <w:color w:val="000000"/>
        </w:rPr>
        <w:t>ASUNTO</w:t>
      </w:r>
      <w:r w:rsidRPr="00B464B5">
        <w:rPr>
          <w:rFonts w:cs="Arial"/>
          <w:b/>
        </w:rPr>
        <w:t>:</w:t>
      </w:r>
      <w:r w:rsidRPr="00D20218">
        <w:rPr>
          <w:rFonts w:cs="Arial"/>
        </w:rPr>
        <w:t xml:space="preserve"> RECEPCIÓN</w:t>
      </w:r>
      <w:r>
        <w:rPr>
          <w:rFonts w:cs="Arial"/>
        </w:rPr>
        <w:t>.</w:t>
      </w:r>
    </w:p>
    <w:p w:rsidR="00247624" w:rsidRPr="00D20218" w:rsidRDefault="00247624" w:rsidP="00247624">
      <w:pPr>
        <w:tabs>
          <w:tab w:val="left" w:pos="5387"/>
        </w:tabs>
        <w:spacing w:after="0" w:line="276" w:lineRule="auto"/>
        <w:ind w:left="3402"/>
        <w:jc w:val="both"/>
        <w:rPr>
          <w:rFonts w:cs="Arial"/>
          <w:color w:val="000000"/>
        </w:rPr>
      </w:pPr>
    </w:p>
    <w:p w:rsidR="00247624" w:rsidRPr="00D20218" w:rsidRDefault="00247624" w:rsidP="009E3511">
      <w:pPr>
        <w:spacing w:after="0" w:line="276" w:lineRule="auto"/>
        <w:jc w:val="both"/>
        <w:rPr>
          <w:rFonts w:cs="Arial"/>
        </w:rPr>
      </w:pPr>
      <w:r w:rsidRPr="00D20218">
        <w:rPr>
          <w:rFonts w:cs="Arial"/>
        </w:rPr>
        <w:t xml:space="preserve">En Santiago de Querétaro, Querétaro, siendo las </w:t>
      </w:r>
      <w:r w:rsidR="00D26321">
        <w:rPr>
          <w:rFonts w:cs="Arial"/>
        </w:rPr>
        <w:t>quince</w:t>
      </w:r>
      <w:bookmarkStart w:id="1" w:name="_GoBack"/>
      <w:bookmarkEnd w:id="1"/>
      <w:r w:rsidRPr="00D20218">
        <w:rPr>
          <w:rFonts w:cs="Arial"/>
        </w:rPr>
        <w:t xml:space="preserve"> horas con </w:t>
      </w:r>
      <w:r w:rsidR="009E3511">
        <w:rPr>
          <w:rFonts w:cs="Arial"/>
        </w:rPr>
        <w:t>treinta</w:t>
      </w:r>
      <w:r w:rsidRPr="00D20218">
        <w:rPr>
          <w:rFonts w:cs="Arial"/>
        </w:rPr>
        <w:t xml:space="preserve"> minutos del </w:t>
      </w:r>
      <w:r w:rsidR="009E3511">
        <w:rPr>
          <w:rFonts w:cs="Arial"/>
        </w:rPr>
        <w:t>tres</w:t>
      </w:r>
      <w:r w:rsidRPr="00D20218">
        <w:rPr>
          <w:rFonts w:cs="Arial"/>
        </w:rPr>
        <w:t xml:space="preserve"> de </w:t>
      </w:r>
      <w:r w:rsidR="009E3511">
        <w:rPr>
          <w:rFonts w:cs="Arial"/>
        </w:rPr>
        <w:t>enero de dos mil veintiuno</w:t>
      </w:r>
      <w:r w:rsidRPr="00D20218">
        <w:rPr>
          <w:rFonts w:cs="Arial"/>
        </w:rPr>
        <w:t xml:space="preserve">, en cumplimiento a lo ordenado en el proveído dictado el </w:t>
      </w:r>
      <w:r w:rsidR="001D0B8C">
        <w:rPr>
          <w:rFonts w:cs="Arial"/>
        </w:rPr>
        <w:t>veinti</w:t>
      </w:r>
      <w:r w:rsidR="009E3511">
        <w:rPr>
          <w:rFonts w:cs="Arial"/>
        </w:rPr>
        <w:t>ocho</w:t>
      </w:r>
      <w:r w:rsidRPr="00D20218">
        <w:rPr>
          <w:rFonts w:cs="Arial"/>
        </w:rPr>
        <w:t xml:space="preserve"> de </w:t>
      </w:r>
      <w:r w:rsidR="009E3511">
        <w:rPr>
          <w:rFonts w:cs="Arial"/>
        </w:rPr>
        <w:t>enero</w:t>
      </w:r>
      <w:r w:rsidR="001D0B8C" w:rsidRPr="00D20218">
        <w:rPr>
          <w:rFonts w:cs="Arial"/>
        </w:rPr>
        <w:t xml:space="preserve"> </w:t>
      </w:r>
      <w:r w:rsidRPr="00D20218">
        <w:rPr>
          <w:rFonts w:cs="Arial"/>
        </w:rPr>
        <w:t xml:space="preserve">del </w:t>
      </w:r>
      <w:r w:rsidR="009E3511">
        <w:rPr>
          <w:rFonts w:cs="Arial"/>
        </w:rPr>
        <w:t>año en curso</w:t>
      </w:r>
      <w:r w:rsidRPr="00D20218">
        <w:rPr>
          <w:rFonts w:cs="Arial"/>
        </w:rPr>
        <w:t>, c</w:t>
      </w:r>
      <w:r>
        <w:rPr>
          <w:rFonts w:cs="Arial"/>
        </w:rPr>
        <w:t>on fundamento en los artículos</w:t>
      </w:r>
      <w:r w:rsidRPr="00D20218">
        <w:rPr>
          <w:rFonts w:cs="Arial"/>
        </w:rPr>
        <w:t xml:space="preserve"> 50</w:t>
      </w:r>
      <w:r>
        <w:rPr>
          <w:rFonts w:cs="Arial"/>
        </w:rPr>
        <w:t>, fracción II, 52 y 56, fracción II</w:t>
      </w:r>
      <w:r w:rsidRPr="00D20218">
        <w:rPr>
          <w:rFonts w:cs="Arial"/>
        </w:rPr>
        <w:t xml:space="preserve"> de la Ley de Medios de Impugnación en Materia Electoral del Estado de Querétaro, se </w:t>
      </w:r>
      <w:r w:rsidRPr="000C75F0">
        <w:rPr>
          <w:rFonts w:cs="Arial"/>
          <w:b/>
        </w:rPr>
        <w:t xml:space="preserve">NOTIFICA </w:t>
      </w:r>
      <w:r w:rsidRPr="00D20218">
        <w:rPr>
          <w:rFonts w:cs="Arial"/>
        </w:rPr>
        <w:t xml:space="preserve">el contenido del proveído de mérito que consta de dos fojas, mediante cédula que se fija en los </w:t>
      </w:r>
      <w:r w:rsidRPr="000C75F0">
        <w:rPr>
          <w:rFonts w:cs="Arial"/>
          <w:b/>
        </w:rPr>
        <w:t>ESTRADOS</w:t>
      </w:r>
      <w:r w:rsidRPr="00D20218">
        <w:rPr>
          <w:rFonts w:cs="Arial"/>
        </w:rPr>
        <w:t xml:space="preserve"> de este Consejo General de este Instituto Electoral del Estado de Querétaro, anexando copia del mismo. </w:t>
      </w:r>
      <w:r w:rsidRPr="000C75F0">
        <w:rPr>
          <w:rFonts w:cs="Arial"/>
          <w:b/>
        </w:rPr>
        <w:t>CONSTE</w:t>
      </w:r>
      <w:r w:rsidRPr="00D20218">
        <w:rPr>
          <w:rFonts w:cs="Arial"/>
        </w:rPr>
        <w:t xml:space="preserve">. </w:t>
      </w:r>
    </w:p>
    <w:p w:rsidR="00247624" w:rsidRPr="00D20218" w:rsidRDefault="00247624" w:rsidP="00247624">
      <w:pPr>
        <w:spacing w:after="0" w:line="276" w:lineRule="auto"/>
        <w:ind w:left="709"/>
        <w:jc w:val="both"/>
        <w:rPr>
          <w:rFonts w:cs="Arial"/>
        </w:rPr>
      </w:pPr>
    </w:p>
    <w:p w:rsidR="00247624" w:rsidRPr="00D20218" w:rsidRDefault="00247624" w:rsidP="00247624">
      <w:pPr>
        <w:spacing w:after="0" w:line="276" w:lineRule="auto"/>
        <w:ind w:left="709"/>
        <w:jc w:val="both"/>
        <w:rPr>
          <w:rFonts w:cs="Arial"/>
        </w:rPr>
      </w:pPr>
    </w:p>
    <w:p w:rsidR="00247624" w:rsidRPr="00D20218" w:rsidRDefault="00247624" w:rsidP="00247624">
      <w:pPr>
        <w:spacing w:after="0" w:line="276" w:lineRule="auto"/>
        <w:ind w:left="709"/>
        <w:jc w:val="both"/>
        <w:rPr>
          <w:rFonts w:cs="Arial"/>
        </w:rPr>
      </w:pPr>
    </w:p>
    <w:p w:rsidR="00247624" w:rsidRPr="00186954" w:rsidRDefault="00247624" w:rsidP="00247624">
      <w:pPr>
        <w:spacing w:after="0" w:line="276" w:lineRule="auto"/>
        <w:ind w:left="709"/>
        <w:jc w:val="center"/>
        <w:rPr>
          <w:rFonts w:cs="Arial"/>
          <w:b/>
        </w:rPr>
      </w:pPr>
      <w:r w:rsidRPr="00186954">
        <w:rPr>
          <w:rFonts w:cs="Arial"/>
          <w:b/>
        </w:rPr>
        <w:t>Dr. Juan Rivera Hernández</w:t>
      </w:r>
    </w:p>
    <w:p w:rsidR="00247624" w:rsidRDefault="00247624" w:rsidP="00247624">
      <w:pPr>
        <w:spacing w:after="0" w:line="276" w:lineRule="auto"/>
        <w:ind w:left="709"/>
        <w:jc w:val="center"/>
        <w:rPr>
          <w:rFonts w:cs="Arial"/>
        </w:rPr>
      </w:pPr>
      <w:r w:rsidRPr="00D20218">
        <w:rPr>
          <w:rFonts w:cs="Arial"/>
        </w:rPr>
        <w:t>Director Ejecutivo de Asuntos Jurídicos</w:t>
      </w:r>
    </w:p>
    <w:p w:rsidR="00247624" w:rsidRDefault="00247624" w:rsidP="00247624">
      <w:pPr>
        <w:spacing w:after="0" w:line="276" w:lineRule="auto"/>
        <w:ind w:left="709"/>
        <w:jc w:val="center"/>
        <w:rPr>
          <w:rFonts w:cs="Arial"/>
        </w:rPr>
      </w:pPr>
    </w:p>
    <w:p w:rsidR="00247624" w:rsidRDefault="00247624" w:rsidP="00247624"/>
    <w:p w:rsidR="00247624" w:rsidRPr="00D20218" w:rsidRDefault="00247624" w:rsidP="00823C2D">
      <w:pPr>
        <w:tabs>
          <w:tab w:val="left" w:pos="5387"/>
        </w:tabs>
        <w:spacing w:after="0" w:line="276" w:lineRule="auto"/>
        <w:jc w:val="center"/>
        <w:rPr>
          <w:rFonts w:cs="Arial"/>
          <w:color w:val="000000"/>
        </w:rPr>
      </w:pPr>
    </w:p>
    <w:p w:rsidR="00823C2D" w:rsidRPr="00D20218" w:rsidRDefault="00823C2D" w:rsidP="00823C2D">
      <w:pPr>
        <w:tabs>
          <w:tab w:val="left" w:pos="5387"/>
        </w:tabs>
        <w:spacing w:after="0" w:line="276" w:lineRule="auto"/>
        <w:ind w:left="3402"/>
        <w:jc w:val="both"/>
        <w:rPr>
          <w:rFonts w:cs="Arial"/>
          <w:color w:val="000000"/>
        </w:rPr>
      </w:pPr>
    </w:p>
    <w:p w:rsidR="00823C2D" w:rsidRPr="00D20218" w:rsidRDefault="00823C2D" w:rsidP="00823C2D">
      <w:pPr>
        <w:tabs>
          <w:tab w:val="left" w:pos="5387"/>
        </w:tabs>
        <w:spacing w:after="0" w:line="276" w:lineRule="auto"/>
        <w:ind w:left="3402"/>
        <w:jc w:val="both"/>
        <w:rPr>
          <w:rFonts w:cs="Arial"/>
          <w:color w:val="000000"/>
        </w:rPr>
      </w:pPr>
    </w:p>
    <w:p w:rsidR="00823C2D" w:rsidRPr="00D20218" w:rsidRDefault="00823C2D" w:rsidP="00823C2D">
      <w:pPr>
        <w:tabs>
          <w:tab w:val="left" w:pos="5387"/>
        </w:tabs>
        <w:spacing w:after="0" w:line="276" w:lineRule="auto"/>
        <w:ind w:left="3402"/>
        <w:jc w:val="both"/>
        <w:rPr>
          <w:rFonts w:cs="Arial"/>
          <w:color w:val="000000"/>
        </w:rPr>
      </w:pPr>
    </w:p>
    <w:p w:rsidR="00823C2D" w:rsidRPr="00D20218" w:rsidRDefault="00823C2D" w:rsidP="00823C2D">
      <w:pPr>
        <w:tabs>
          <w:tab w:val="left" w:pos="5387"/>
        </w:tabs>
        <w:spacing w:after="0" w:line="276" w:lineRule="auto"/>
        <w:jc w:val="both"/>
        <w:rPr>
          <w:rFonts w:cs="Arial"/>
          <w:color w:val="000000"/>
        </w:rPr>
      </w:pPr>
    </w:p>
    <w:p w:rsidR="00823C2D" w:rsidRPr="00D20218" w:rsidRDefault="00823C2D" w:rsidP="00823C2D">
      <w:pPr>
        <w:tabs>
          <w:tab w:val="left" w:pos="5387"/>
        </w:tabs>
        <w:spacing w:after="0" w:line="276" w:lineRule="auto"/>
        <w:ind w:left="3402"/>
        <w:jc w:val="both"/>
        <w:rPr>
          <w:rFonts w:cs="Arial"/>
          <w:color w:val="000000"/>
        </w:rPr>
      </w:pPr>
    </w:p>
    <w:p w:rsidR="00823C2D" w:rsidRPr="00D20218" w:rsidRDefault="00823C2D" w:rsidP="00823C2D">
      <w:pPr>
        <w:tabs>
          <w:tab w:val="left" w:pos="5387"/>
        </w:tabs>
        <w:spacing w:after="0" w:line="276" w:lineRule="auto"/>
        <w:ind w:left="3402"/>
        <w:jc w:val="both"/>
        <w:rPr>
          <w:rFonts w:cs="Arial"/>
          <w:color w:val="000000"/>
        </w:rPr>
      </w:pPr>
    </w:p>
    <w:p w:rsidR="00823C2D" w:rsidRPr="00D20218" w:rsidRDefault="00823C2D" w:rsidP="00823C2D">
      <w:pPr>
        <w:tabs>
          <w:tab w:val="left" w:pos="5387"/>
        </w:tabs>
        <w:spacing w:after="0" w:line="276" w:lineRule="auto"/>
        <w:ind w:left="3402"/>
        <w:jc w:val="both"/>
        <w:rPr>
          <w:rFonts w:cs="Arial"/>
          <w:color w:val="000000"/>
        </w:rPr>
      </w:pPr>
    </w:p>
    <w:p w:rsidR="00823C2D" w:rsidRPr="00D20218" w:rsidRDefault="00823C2D" w:rsidP="00550B8F">
      <w:pPr>
        <w:tabs>
          <w:tab w:val="left" w:pos="5387"/>
        </w:tabs>
        <w:spacing w:after="0" w:line="276" w:lineRule="auto"/>
        <w:ind w:left="3402"/>
        <w:jc w:val="both"/>
        <w:rPr>
          <w:rFonts w:cs="Arial"/>
          <w:color w:val="000000"/>
        </w:rPr>
      </w:pPr>
    </w:p>
    <w:p w:rsidR="00A3665A" w:rsidRDefault="00043D75"/>
    <w:sectPr w:rsidR="00A3665A" w:rsidSect="009E3511">
      <w:footerReference w:type="default" r:id="rId7"/>
      <w:pgSz w:w="12240" w:h="15840"/>
      <w:pgMar w:top="2268" w:right="1701" w:bottom="2268"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75" w:rsidRDefault="00043D75" w:rsidP="00550B8F">
      <w:pPr>
        <w:spacing w:after="0" w:line="240" w:lineRule="auto"/>
      </w:pPr>
      <w:r>
        <w:separator/>
      </w:r>
    </w:p>
  </w:endnote>
  <w:endnote w:type="continuationSeparator" w:id="0">
    <w:p w:rsidR="00043D75" w:rsidRDefault="00043D75" w:rsidP="0055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D1" w:rsidRDefault="00043D75">
    <w:pPr>
      <w:pBdr>
        <w:top w:val="nil"/>
        <w:left w:val="nil"/>
        <w:bottom w:val="nil"/>
        <w:right w:val="nil"/>
        <w:between w:val="nil"/>
      </w:pBdr>
      <w:tabs>
        <w:tab w:val="center" w:pos="4252"/>
        <w:tab w:val="right" w:pos="8504"/>
      </w:tabs>
      <w:spacing w:after="0" w:line="240" w:lineRule="auto"/>
      <w:jc w:val="right"/>
      <w:rPr>
        <w:color w:val="000000"/>
      </w:rPr>
    </w:pPr>
  </w:p>
  <w:p w:rsidR="002977D1" w:rsidRDefault="00043D7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75" w:rsidRDefault="00043D75" w:rsidP="00550B8F">
      <w:pPr>
        <w:spacing w:after="0" w:line="240" w:lineRule="auto"/>
      </w:pPr>
      <w:r>
        <w:separator/>
      </w:r>
    </w:p>
  </w:footnote>
  <w:footnote w:type="continuationSeparator" w:id="0">
    <w:p w:rsidR="00043D75" w:rsidRDefault="00043D75" w:rsidP="00550B8F">
      <w:pPr>
        <w:spacing w:after="0" w:line="240" w:lineRule="auto"/>
      </w:pPr>
      <w:r>
        <w:continuationSeparator/>
      </w:r>
    </w:p>
  </w:footnote>
  <w:footnote w:id="1">
    <w:p w:rsidR="00550B8F" w:rsidRPr="006A6DA0" w:rsidRDefault="00550B8F" w:rsidP="009E3511">
      <w:pPr>
        <w:pBdr>
          <w:top w:val="nil"/>
          <w:left w:val="nil"/>
          <w:bottom w:val="nil"/>
          <w:right w:val="nil"/>
          <w:between w:val="nil"/>
        </w:pBdr>
        <w:spacing w:after="0" w:line="240" w:lineRule="auto"/>
        <w:ind w:left="1134"/>
        <w:jc w:val="both"/>
        <w:rPr>
          <w:color w:val="000000"/>
          <w:sz w:val="16"/>
          <w:szCs w:val="16"/>
        </w:rPr>
      </w:pPr>
      <w:r w:rsidRPr="006A6DA0">
        <w:rPr>
          <w:sz w:val="16"/>
          <w:szCs w:val="16"/>
          <w:vertAlign w:val="superscript"/>
        </w:rPr>
        <w:footnoteRef/>
      </w:r>
      <w:r w:rsidRPr="006A6DA0">
        <w:rPr>
          <w:color w:val="000000"/>
          <w:sz w:val="16"/>
          <w:szCs w:val="16"/>
        </w:rPr>
        <w:t xml:space="preserve"> Las fechas que se señalan co</w:t>
      </w:r>
      <w:r w:rsidR="00116FF7">
        <w:rPr>
          <w:color w:val="000000"/>
          <w:sz w:val="16"/>
          <w:szCs w:val="16"/>
        </w:rPr>
        <w:t xml:space="preserve">rresponden al año </w:t>
      </w:r>
      <w:proofErr w:type="gramStart"/>
      <w:r w:rsidR="00116FF7">
        <w:rPr>
          <w:color w:val="000000"/>
          <w:sz w:val="16"/>
          <w:szCs w:val="16"/>
        </w:rPr>
        <w:t>dos mil veintiuno</w:t>
      </w:r>
      <w:proofErr w:type="gramEnd"/>
      <w:r w:rsidRPr="006A6DA0">
        <w:rPr>
          <w:color w:val="000000"/>
          <w:sz w:val="16"/>
          <w:szCs w:val="16"/>
        </w:rPr>
        <w:t xml:space="preserve">, salvo mención expresa. </w:t>
      </w:r>
    </w:p>
  </w:footnote>
  <w:footnote w:id="2">
    <w:p w:rsidR="00550B8F" w:rsidRPr="006A6DA0" w:rsidRDefault="00550B8F" w:rsidP="009E3511">
      <w:pPr>
        <w:pStyle w:val="Textonotapie"/>
        <w:ind w:left="1134"/>
        <w:jc w:val="both"/>
        <w:rPr>
          <w:sz w:val="16"/>
          <w:szCs w:val="16"/>
        </w:rPr>
      </w:pPr>
      <w:r w:rsidRPr="006A6DA0">
        <w:rPr>
          <w:rStyle w:val="Refdenotaalpie"/>
          <w:sz w:val="16"/>
          <w:szCs w:val="16"/>
        </w:rPr>
        <w:footnoteRef/>
      </w:r>
      <w:r w:rsidRPr="006A6DA0">
        <w:rPr>
          <w:sz w:val="16"/>
          <w:szCs w:val="16"/>
        </w:rPr>
        <w:t xml:space="preserve"> En adelante Instituto. </w:t>
      </w:r>
    </w:p>
  </w:footnote>
  <w:footnote w:id="3">
    <w:p w:rsidR="00AB637B" w:rsidRPr="00964D8A" w:rsidRDefault="00AB637B" w:rsidP="009E3511">
      <w:pPr>
        <w:pStyle w:val="Textonotapie"/>
        <w:ind w:left="1134"/>
        <w:rPr>
          <w:sz w:val="16"/>
          <w:szCs w:val="16"/>
        </w:rPr>
      </w:pPr>
      <w:r w:rsidRPr="00964D8A">
        <w:rPr>
          <w:rStyle w:val="Refdenotaalpie"/>
          <w:sz w:val="16"/>
          <w:szCs w:val="16"/>
        </w:rPr>
        <w:footnoteRef/>
      </w:r>
      <w:r w:rsidRPr="00964D8A">
        <w:rPr>
          <w:sz w:val="16"/>
          <w:szCs w:val="16"/>
        </w:rPr>
        <w:t xml:space="preserve"> En lo subsecuente el Tribunal Electoral.</w:t>
      </w:r>
    </w:p>
  </w:footnote>
  <w:footnote w:id="4">
    <w:p w:rsidR="00550B8F" w:rsidRPr="006A6DA0" w:rsidRDefault="00550B8F" w:rsidP="009E3511">
      <w:pPr>
        <w:pBdr>
          <w:top w:val="nil"/>
          <w:left w:val="nil"/>
          <w:bottom w:val="nil"/>
          <w:right w:val="nil"/>
          <w:between w:val="nil"/>
        </w:pBdr>
        <w:spacing w:after="0" w:line="240" w:lineRule="auto"/>
        <w:ind w:left="1134"/>
        <w:jc w:val="both"/>
        <w:rPr>
          <w:color w:val="000000"/>
          <w:sz w:val="16"/>
          <w:szCs w:val="16"/>
        </w:rPr>
      </w:pPr>
      <w:r w:rsidRPr="006A6DA0">
        <w:rPr>
          <w:sz w:val="16"/>
          <w:szCs w:val="16"/>
          <w:vertAlign w:val="superscript"/>
        </w:rPr>
        <w:footnoteRef/>
      </w:r>
      <w:r w:rsidRPr="006A6DA0">
        <w:rPr>
          <w:color w:val="000000"/>
          <w:sz w:val="16"/>
          <w:szCs w:val="16"/>
        </w:rPr>
        <w:t xml:space="preserve"> En adelante Ley Electoral. </w:t>
      </w:r>
    </w:p>
  </w:footnote>
  <w:footnote w:id="5">
    <w:p w:rsidR="00550B8F" w:rsidRDefault="00550B8F" w:rsidP="009E3511">
      <w:pPr>
        <w:pBdr>
          <w:top w:val="nil"/>
          <w:left w:val="nil"/>
          <w:bottom w:val="nil"/>
          <w:right w:val="nil"/>
          <w:between w:val="nil"/>
        </w:pBdr>
        <w:spacing w:after="0" w:line="240" w:lineRule="auto"/>
        <w:ind w:left="1134"/>
        <w:jc w:val="both"/>
        <w:rPr>
          <w:color w:val="000000"/>
          <w:sz w:val="16"/>
          <w:szCs w:val="16"/>
        </w:rPr>
      </w:pPr>
      <w:r w:rsidRPr="006A6DA0">
        <w:rPr>
          <w:sz w:val="16"/>
          <w:szCs w:val="16"/>
          <w:vertAlign w:val="superscript"/>
        </w:rPr>
        <w:footnoteRef/>
      </w:r>
      <w:r w:rsidRPr="006A6DA0">
        <w:rPr>
          <w:color w:val="000000"/>
          <w:sz w:val="16"/>
          <w:szCs w:val="16"/>
        </w:rPr>
        <w:t xml:space="preserve"> En adelante Dirección Ejecutiva.</w:t>
      </w:r>
      <w:r>
        <w:rPr>
          <w:color w:val="000000"/>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F"/>
    <w:rsid w:val="00043D75"/>
    <w:rsid w:val="001023C2"/>
    <w:rsid w:val="00116FF7"/>
    <w:rsid w:val="001D0B8C"/>
    <w:rsid w:val="002428D5"/>
    <w:rsid w:val="00247624"/>
    <w:rsid w:val="0028466C"/>
    <w:rsid w:val="003A3BE1"/>
    <w:rsid w:val="0041101C"/>
    <w:rsid w:val="004F4AD4"/>
    <w:rsid w:val="00550B8F"/>
    <w:rsid w:val="00560582"/>
    <w:rsid w:val="005B072A"/>
    <w:rsid w:val="006D1387"/>
    <w:rsid w:val="006F0C6C"/>
    <w:rsid w:val="007119F4"/>
    <w:rsid w:val="00796A93"/>
    <w:rsid w:val="00823C2D"/>
    <w:rsid w:val="009E3511"/>
    <w:rsid w:val="00AA3690"/>
    <w:rsid w:val="00AB637B"/>
    <w:rsid w:val="00AF7F1C"/>
    <w:rsid w:val="00C17602"/>
    <w:rsid w:val="00CA34AF"/>
    <w:rsid w:val="00CE2E9D"/>
    <w:rsid w:val="00D26321"/>
    <w:rsid w:val="00DC22D8"/>
    <w:rsid w:val="00F548A9"/>
    <w:rsid w:val="00F67DBF"/>
    <w:rsid w:val="00F85371"/>
    <w:rsid w:val="00FE1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C21D"/>
  <w15:docId w15:val="{1815DA29-1B4E-48AE-BB29-C1DA2EC8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0B8F"/>
    <w:pPr>
      <w:spacing w:after="160" w:line="259" w:lineRule="auto"/>
    </w:pPr>
    <w:rPr>
      <w:rFonts w:ascii="Gothic720 BT" w:eastAsia="Gothic720 BT" w:hAnsi="Gothic720 BT" w:cs="Gothic720 BT"/>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550B8F"/>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550B8F"/>
    <w:rPr>
      <w:rFonts w:ascii="Gothic720 BT" w:eastAsia="Gothic720 BT" w:hAnsi="Gothic720 BT" w:cs="Gothic720 BT"/>
      <w:sz w:val="20"/>
      <w:szCs w:val="20"/>
      <w:lang w:eastAsia="es-MX"/>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550B8F"/>
    <w:rPr>
      <w:vertAlign w:val="superscript"/>
    </w:rPr>
  </w:style>
  <w:style w:type="table" w:styleId="Tablaconcuadrcula">
    <w:name w:val="Table Grid"/>
    <w:basedOn w:val="Tablanormal"/>
    <w:uiPriority w:val="59"/>
    <w:rsid w:val="0055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637B"/>
    <w:pPr>
      <w:jc w:val="both"/>
    </w:pPr>
    <w:rPr>
      <w:rFonts w:asciiTheme="minorHAnsi" w:eastAsiaTheme="minorHAnsi" w:hAnsiTheme="minorHAnsi" w:cstheme="minorBidi"/>
      <w:vertAlign w:val="superscript"/>
      <w:lang w:eastAsia="en-US"/>
    </w:rPr>
  </w:style>
  <w:style w:type="paragraph" w:styleId="Textodeglobo">
    <w:name w:val="Balloon Text"/>
    <w:basedOn w:val="Normal"/>
    <w:link w:val="TextodegloboCar"/>
    <w:uiPriority w:val="99"/>
    <w:semiHidden/>
    <w:unhideWhenUsed/>
    <w:rsid w:val="005B07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72A"/>
    <w:rPr>
      <w:rFonts w:ascii="Segoe UI" w:eastAsia="Gothic720 BT"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99996-5841-4629-BB38-72B83E9D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545</Words>
  <Characters>3001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Mateo.Salazar</dc:creator>
  <cp:lastModifiedBy>Stephanya.Cadillo</cp:lastModifiedBy>
  <cp:revision>20</cp:revision>
  <cp:lastPrinted>2021-02-03T23:26:00Z</cp:lastPrinted>
  <dcterms:created xsi:type="dcterms:W3CDTF">2020-11-24T23:28:00Z</dcterms:created>
  <dcterms:modified xsi:type="dcterms:W3CDTF">2021-02-03T23:28:00Z</dcterms:modified>
</cp:coreProperties>
</file>