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3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5865"/>
      </w:tblGrid>
      <w:tr w:rsidR="00824AD8" w:rsidRPr="00F33E3B" w14:paraId="1B01EFDC" w14:textId="77777777" w:rsidTr="00295353">
        <w:trPr>
          <w:trHeight w:val="1236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343671C5" w14:textId="77777777" w:rsidR="00824AD8" w:rsidRPr="00F33E3B" w:rsidRDefault="00824AD8" w:rsidP="002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6"/>
              <w:jc w:val="both"/>
              <w:rPr>
                <w:rFonts w:ascii="Gothic720 BT" w:eastAsia="Gothic720 BT" w:hAnsi="Gothic720 BT" w:cs="Gothic720 BT"/>
                <w:b/>
                <w:color w:val="000000"/>
                <w:sz w:val="21"/>
                <w:szCs w:val="21"/>
                <w:lang w:eastAsia="es-MX"/>
              </w:rPr>
            </w:pPr>
            <w:bookmarkStart w:id="0" w:name="_Hlk60319536"/>
            <w:bookmarkStart w:id="1" w:name="_Hlk62729120"/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14:paraId="27B774E0" w14:textId="77777777" w:rsidR="00824AD8" w:rsidRPr="00F33E3B" w:rsidRDefault="00824AD8" w:rsidP="00295353">
            <w:pPr>
              <w:tabs>
                <w:tab w:val="left" w:pos="851"/>
              </w:tabs>
              <w:spacing w:after="0" w:line="240" w:lineRule="auto"/>
              <w:ind w:left="1416" w:right="-93"/>
              <w:jc w:val="both"/>
              <w:rPr>
                <w:rFonts w:ascii="Gothic720 BT" w:eastAsia="Gothic720 BT" w:hAnsi="Gothic720 BT" w:cs="Gothic720 BT"/>
                <w:b/>
                <w:sz w:val="21"/>
                <w:szCs w:val="21"/>
                <w:lang w:eastAsia="es-MX"/>
              </w:rPr>
            </w:pPr>
          </w:p>
          <w:p w14:paraId="440B74D7" w14:textId="08481CCE" w:rsidR="00824AD8" w:rsidRPr="00F33E3B" w:rsidRDefault="007444EA" w:rsidP="007444EA">
            <w:pPr>
              <w:tabs>
                <w:tab w:val="left" w:pos="851"/>
              </w:tabs>
              <w:spacing w:after="0" w:line="240" w:lineRule="auto"/>
              <w:ind w:right="-93"/>
              <w:jc w:val="both"/>
              <w:rPr>
                <w:rFonts w:ascii="Gothic720 BT" w:eastAsia="Gothic720 BT" w:hAnsi="Gothic720 BT" w:cs="Gothic720 BT"/>
                <w:b/>
                <w:sz w:val="21"/>
                <w:szCs w:val="21"/>
                <w:lang w:eastAsia="es-MX"/>
              </w:rPr>
            </w:pPr>
            <w:r>
              <w:rPr>
                <w:rFonts w:ascii="Gothic720 BT" w:eastAsia="Gothic720 BT" w:hAnsi="Gothic720 BT" w:cs="Gothic720 BT"/>
                <w:b/>
                <w:sz w:val="21"/>
                <w:szCs w:val="21"/>
                <w:lang w:eastAsia="es-MX"/>
              </w:rPr>
              <w:t xml:space="preserve">                         </w:t>
            </w:r>
            <w:r w:rsidR="00824AD8" w:rsidRPr="00F33E3B">
              <w:rPr>
                <w:rFonts w:ascii="Gothic720 BT" w:eastAsia="Gothic720 BT" w:hAnsi="Gothic720 BT" w:cs="Gothic720 BT"/>
                <w:b/>
                <w:sz w:val="21"/>
                <w:szCs w:val="21"/>
                <w:lang w:eastAsia="es-MX"/>
              </w:rPr>
              <w:t xml:space="preserve">EXPEDIENTE: </w:t>
            </w:r>
            <w:r w:rsidR="00824AD8" w:rsidRPr="00F33E3B">
              <w:rPr>
                <w:rFonts w:ascii="Gothic720 BT" w:hAnsi="Gothic720 BT" w:cs="Arial"/>
                <w:sz w:val="21"/>
                <w:szCs w:val="21"/>
              </w:rPr>
              <w:t>IEEQ/CMCOL/CI/A/001/2020-P</w:t>
            </w:r>
          </w:p>
          <w:p w14:paraId="068E302E" w14:textId="77777777" w:rsidR="00824AD8" w:rsidRPr="00F33E3B" w:rsidRDefault="00824AD8" w:rsidP="00295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1416" w:right="-93"/>
              <w:jc w:val="both"/>
              <w:rPr>
                <w:rFonts w:ascii="Gothic720 BT" w:eastAsia="Gothic720 BT" w:hAnsi="Gothic720 BT" w:cs="Gothic720 BT"/>
                <w:sz w:val="21"/>
                <w:szCs w:val="21"/>
                <w:lang w:eastAsia="es-MX"/>
              </w:rPr>
            </w:pPr>
          </w:p>
          <w:p w14:paraId="17DB008C" w14:textId="017FF218" w:rsidR="00824AD8" w:rsidRPr="00F33E3B" w:rsidRDefault="00824AD8" w:rsidP="00295353">
            <w:pPr>
              <w:tabs>
                <w:tab w:val="left" w:pos="851"/>
              </w:tabs>
              <w:spacing w:after="0" w:line="240" w:lineRule="auto"/>
              <w:ind w:left="1416" w:right="-93"/>
              <w:jc w:val="both"/>
              <w:rPr>
                <w:rFonts w:ascii="Gothic720 BT" w:eastAsia="Gothic720 BT" w:hAnsi="Gothic720 BT" w:cs="Gothic720 BT"/>
                <w:sz w:val="21"/>
                <w:szCs w:val="21"/>
                <w:lang w:eastAsia="es-MX"/>
              </w:rPr>
            </w:pPr>
            <w:r w:rsidRPr="00F33E3B">
              <w:rPr>
                <w:rFonts w:ascii="Gothic720 BT" w:eastAsia="Gothic720 BT" w:hAnsi="Gothic720 BT" w:cs="Gothic720 BT"/>
                <w:b/>
                <w:sz w:val="21"/>
                <w:szCs w:val="21"/>
                <w:lang w:eastAsia="es-MX"/>
              </w:rPr>
              <w:t>PROMOVENTE:</w:t>
            </w:r>
            <w:r w:rsidRPr="00F33E3B">
              <w:rPr>
                <w:rFonts w:ascii="Gothic720 BT" w:eastAsia="Gothic720 BT" w:hAnsi="Gothic720 BT" w:cs="Gothic720 BT"/>
                <w:sz w:val="21"/>
                <w:szCs w:val="21"/>
                <w:lang w:eastAsia="es-MX"/>
              </w:rPr>
              <w:t xml:space="preserve"> GASPAR RAM</w:t>
            </w:r>
            <w:r w:rsidR="007444EA">
              <w:rPr>
                <w:rFonts w:ascii="Gothic720 BT" w:eastAsia="Gothic720 BT" w:hAnsi="Gothic720 BT" w:cs="Gothic720 BT"/>
                <w:sz w:val="21"/>
                <w:szCs w:val="21"/>
                <w:lang w:eastAsia="es-MX"/>
              </w:rPr>
              <w:t>Ó</w:t>
            </w:r>
            <w:r w:rsidRPr="00F33E3B">
              <w:rPr>
                <w:rFonts w:ascii="Gothic720 BT" w:eastAsia="Gothic720 BT" w:hAnsi="Gothic720 BT" w:cs="Gothic720 BT"/>
                <w:sz w:val="21"/>
                <w:szCs w:val="21"/>
                <w:lang w:eastAsia="es-MX"/>
              </w:rPr>
              <w:t>N TRUEBA MONCADA.</w:t>
            </w:r>
          </w:p>
          <w:p w14:paraId="47B0B84D" w14:textId="77777777" w:rsidR="00824AD8" w:rsidRPr="00F33E3B" w:rsidRDefault="00824AD8" w:rsidP="00295353">
            <w:pPr>
              <w:tabs>
                <w:tab w:val="left" w:pos="851"/>
              </w:tabs>
              <w:spacing w:after="0" w:line="240" w:lineRule="auto"/>
              <w:ind w:left="1416" w:right="-93"/>
              <w:jc w:val="both"/>
              <w:rPr>
                <w:rFonts w:ascii="Gothic720 BT" w:eastAsia="Gothic720 BT" w:hAnsi="Gothic720 BT" w:cs="Gothic720 BT"/>
                <w:b/>
                <w:sz w:val="21"/>
                <w:szCs w:val="21"/>
                <w:lang w:eastAsia="es-MX"/>
              </w:rPr>
            </w:pPr>
          </w:p>
          <w:p w14:paraId="619B39B6" w14:textId="77777777" w:rsidR="00824AD8" w:rsidRPr="00F33E3B" w:rsidRDefault="00824AD8" w:rsidP="00295353">
            <w:pPr>
              <w:tabs>
                <w:tab w:val="left" w:pos="851"/>
              </w:tabs>
              <w:spacing w:after="0" w:line="240" w:lineRule="auto"/>
              <w:ind w:left="1416" w:right="136"/>
              <w:jc w:val="both"/>
              <w:rPr>
                <w:rFonts w:ascii="Gothic720 BT" w:eastAsia="Gothic720 BT" w:hAnsi="Gothic720 BT" w:cs="Gothic720 BT"/>
                <w:sz w:val="21"/>
                <w:szCs w:val="21"/>
                <w:lang w:eastAsia="es-MX"/>
              </w:rPr>
            </w:pPr>
            <w:r w:rsidRPr="00F33E3B">
              <w:rPr>
                <w:rFonts w:ascii="Gothic720 BT" w:eastAsia="Gothic720 BT" w:hAnsi="Gothic720 BT" w:cs="Gothic720 BT"/>
                <w:b/>
                <w:sz w:val="21"/>
                <w:szCs w:val="21"/>
                <w:lang w:eastAsia="es-MX"/>
              </w:rPr>
              <w:t xml:space="preserve">ASUNTO: </w:t>
            </w:r>
            <w:r>
              <w:rPr>
                <w:rFonts w:ascii="Gothic720 BT" w:eastAsia="Gothic720 BT" w:hAnsi="Gothic720 BT" w:cs="Gothic720 BT"/>
                <w:sz w:val="21"/>
                <w:szCs w:val="21"/>
                <w:lang w:eastAsia="es-MX"/>
              </w:rPr>
              <w:t>SOLICITA CAMBIO DE CORREO ELECTRÓNICO.</w:t>
            </w:r>
          </w:p>
        </w:tc>
      </w:tr>
    </w:tbl>
    <w:p w14:paraId="345B7E40" w14:textId="77777777" w:rsidR="00824AD8" w:rsidRPr="00F33E3B" w:rsidRDefault="00824AD8" w:rsidP="00824AD8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p w14:paraId="350720FC" w14:textId="70DE104E" w:rsidR="00824AD8" w:rsidRPr="00F33E3B" w:rsidRDefault="00824AD8" w:rsidP="00824AD8">
      <w:pPr>
        <w:pBdr>
          <w:top w:val="nil"/>
          <w:left w:val="nil"/>
          <w:bottom w:val="nil"/>
          <w:right w:val="nil"/>
          <w:between w:val="nil"/>
        </w:pBdr>
        <w:spacing w:after="0"/>
        <w:ind w:left="1416" w:firstLine="708"/>
        <w:jc w:val="right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Colón, Querétaro, a </w:t>
      </w:r>
      <w:r w:rsidR="007444EA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veintiocho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de enero de dos mil veintiuno.</w:t>
      </w:r>
    </w:p>
    <w:p w14:paraId="6D89452D" w14:textId="77777777" w:rsidR="00824AD8" w:rsidRPr="00F33E3B" w:rsidRDefault="00824AD8" w:rsidP="00824AD8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p w14:paraId="462FC330" w14:textId="38EA2D18" w:rsidR="00824AD8" w:rsidRPr="00F33E3B" w:rsidRDefault="00824AD8" w:rsidP="00824AD8">
      <w:pP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  <w:r w:rsidRPr="00F33E3B"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  <w:t>VISTO</w:t>
      </w:r>
      <w:r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  <w:t xml:space="preserve"> </w:t>
      </w:r>
      <w:r w:rsidRPr="00EF1132">
        <w:rPr>
          <w:rFonts w:ascii="Gothic720 BT" w:eastAsia="Gothic720 BT" w:hAnsi="Gothic720 BT" w:cs="Gothic720 BT"/>
          <w:bCs/>
          <w:color w:val="000000"/>
          <w:sz w:val="21"/>
          <w:szCs w:val="21"/>
          <w:lang w:eastAsia="es-MX"/>
        </w:rPr>
        <w:t>el escrito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signado por parte de Gaspar Ramón Trueba Moncada, en su calidad de aspirante a candidatura independiente,</w:t>
      </w:r>
      <w:r w:rsidRPr="00F33E3B">
        <w:rPr>
          <w:rStyle w:val="Refdenotaalpie"/>
          <w:rFonts w:ascii="Gothic720 BT" w:eastAsia="Gothic720 BT" w:hAnsi="Gothic720 BT" w:cs="Gothic720 BT"/>
          <w:color w:val="000000"/>
          <w:sz w:val="21"/>
          <w:szCs w:val="21"/>
          <w:lang w:eastAsia="es-MX"/>
        </w:rPr>
        <w:footnoteReference w:id="1"/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registrado con folio 00000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4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4 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donde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se desprende que quien promueve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, solicita que esta secretaria técnica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remita su solicitud de cambio de correo electrónico que se dio de alta en el SNR a la </w:t>
      </w:r>
      <w:r w:rsidR="007444EA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Dirección 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Ejecutiva de Organización Electoral </w:t>
      </w:r>
      <w:r w:rsidR="007444EA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P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rerrogativas y Partidos Políticos. C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on fundamento en los artículos 8 de la Constitución Política de los Estados Unidos Mexicanos</w:t>
      </w:r>
      <w:r w:rsidRPr="00F33E3B">
        <w:rPr>
          <w:rStyle w:val="Refdenotaalpie"/>
          <w:rFonts w:ascii="Gothic720 BT" w:eastAsia="Gothic720 BT" w:hAnsi="Gothic720 BT" w:cs="Gothic720 BT"/>
          <w:color w:val="000000"/>
          <w:sz w:val="21"/>
          <w:szCs w:val="21"/>
          <w:lang w:eastAsia="es-MX"/>
        </w:rPr>
        <w:footnoteReference w:id="2"/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y 86, fracciones I y X de la Ley Electoral del Estado de Querétaro,</w:t>
      </w:r>
      <w:r w:rsidRPr="00F33E3B">
        <w:rPr>
          <w:rStyle w:val="Refdenotaalpie"/>
          <w:rFonts w:ascii="Gothic720 BT" w:eastAsia="Gothic720 BT" w:hAnsi="Gothic720 BT" w:cs="Gothic720 BT"/>
          <w:color w:val="000000"/>
          <w:sz w:val="21"/>
          <w:szCs w:val="21"/>
          <w:lang w:eastAsia="es-MX"/>
        </w:rPr>
        <w:footnoteReference w:id="3"/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la Secretaria Técnica, </w:t>
      </w:r>
      <w:r w:rsidRPr="00F33E3B">
        <w:rPr>
          <w:rFonts w:ascii="Gothic720 BT" w:eastAsia="Gothic720 BT" w:hAnsi="Gothic720 BT" w:cs="Gothic720 BT"/>
          <w:b/>
          <w:bCs/>
          <w:color w:val="000000"/>
          <w:sz w:val="21"/>
          <w:szCs w:val="21"/>
          <w:lang w:eastAsia="es-MX"/>
        </w:rPr>
        <w:t>ACUERDA</w:t>
      </w:r>
      <w:r w:rsidRPr="00F33E3B">
        <w:rPr>
          <w:rFonts w:ascii="Gothic720 BT" w:hAnsi="Gothic720 BT" w:cs="Arial"/>
          <w:b/>
          <w:bCs/>
          <w:sz w:val="21"/>
          <w:szCs w:val="21"/>
        </w:rPr>
        <w:t>:</w:t>
      </w:r>
    </w:p>
    <w:p w14:paraId="315FDB62" w14:textId="77777777" w:rsidR="00824AD8" w:rsidRPr="00F33E3B" w:rsidRDefault="00824AD8" w:rsidP="00824AD8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p w14:paraId="45701B5D" w14:textId="77777777" w:rsidR="00824AD8" w:rsidRPr="00F33E3B" w:rsidRDefault="00824AD8" w:rsidP="00824AD8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  <w:r w:rsidRPr="00F33E3B">
        <w:rPr>
          <w:rFonts w:ascii="Gothic720 BT" w:eastAsia="Gothic720 BT" w:hAnsi="Gothic720 BT" w:cs="Gothic720 BT"/>
          <w:b/>
          <w:caps/>
          <w:color w:val="000000"/>
          <w:sz w:val="21"/>
          <w:szCs w:val="21"/>
          <w:lang w:eastAsia="es-MX"/>
        </w:rPr>
        <w:t>Primero</w:t>
      </w:r>
      <w:r w:rsidRPr="00F33E3B"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  <w:t>.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</w:t>
      </w:r>
      <w:r w:rsidRPr="00F33E3B"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  <w:t>Recepción.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Se tiene por recibido 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el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escrito de cuenta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,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mismo que consta 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de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una foja útil inscrita únicamente por su anverso, mism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a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que se ordena agregar en autos del expediente en que se actúa, a fin de que surtan sus efectos conducentes.  </w:t>
      </w:r>
    </w:p>
    <w:p w14:paraId="78D693AD" w14:textId="77777777" w:rsidR="00824AD8" w:rsidRPr="00F33E3B" w:rsidRDefault="00824AD8" w:rsidP="00824AD8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bCs/>
          <w:color w:val="000000"/>
          <w:sz w:val="21"/>
          <w:szCs w:val="21"/>
          <w:lang w:eastAsia="es-MX"/>
        </w:rPr>
      </w:pPr>
    </w:p>
    <w:p w14:paraId="363935B7" w14:textId="79BA9FF5" w:rsidR="00824AD8" w:rsidRDefault="00824AD8" w:rsidP="00FD6E31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  <w:r w:rsidRPr="00F33E3B">
        <w:rPr>
          <w:rFonts w:ascii="Gothic720 BT" w:eastAsia="Gothic720 BT" w:hAnsi="Gothic720 BT" w:cs="Gothic720 BT"/>
          <w:b/>
          <w:caps/>
          <w:color w:val="000000"/>
          <w:sz w:val="21"/>
          <w:szCs w:val="21"/>
          <w:lang w:eastAsia="es-MX"/>
        </w:rPr>
        <w:t>Segundo.</w:t>
      </w:r>
      <w:r w:rsidRPr="00F33E3B"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  <w:t xml:space="preserve"> Escrito con folio 00000</w:t>
      </w:r>
      <w:r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  <w:t>4</w:t>
      </w:r>
      <w:r w:rsidRPr="00F33E3B"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  <w:t xml:space="preserve">4.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Del proemio que antecede se tiene </w:t>
      </w:r>
      <w:r w:rsidR="00692C53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al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promovente Gaspar Ramón Trueba Moncada, en su calidad de aspirante a candidatura independiente, </w:t>
      </w:r>
      <w:r w:rsidR="00FD6E31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manifestando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su deseo de 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cambiar la cuenta de correo </w:t>
      </w:r>
      <w:r w:rsidR="00FD6E31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electrónico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que se dio de alta ante el </w:t>
      </w:r>
      <w:r w:rsidR="00FD6E31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Sistema Nacional de Registro de Precandidatos y Candidatos (SNR) por las razones que en su escrito refiere; razón por la cual solicita que su escrito se haga llegar a la Direccion Ejecutiva de Organización Electoral, Prerrogativas y Partidos Políticos.</w:t>
      </w:r>
      <w:r w:rsidR="00692C53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 </w:t>
      </w:r>
    </w:p>
    <w:p w14:paraId="07976E5F" w14:textId="5771E96F" w:rsidR="00692C53" w:rsidRDefault="00692C53" w:rsidP="00FD6E31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p w14:paraId="481526A2" w14:textId="6DDA4865" w:rsidR="00692C53" w:rsidRPr="00F33E3B" w:rsidRDefault="00692C53" w:rsidP="00FD6E31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Por lo anterior, se ordena girar oficio a 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la Direccion Ejecutiva de Organización Electoral, Prerrogativas y Partidos Políticos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 xml:space="preserve">, a fin de remitir copia certificada </w:t>
      </w:r>
      <w:r w:rsidRPr="00F33E3B"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del escrito que se recibe, para los efectos legales a que haya lugar</w:t>
      </w:r>
      <w:r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  <w:t>.</w:t>
      </w:r>
    </w:p>
    <w:p w14:paraId="4BCE8958" w14:textId="77777777" w:rsidR="00824AD8" w:rsidRPr="00F33E3B" w:rsidRDefault="00824AD8" w:rsidP="00824AD8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bookmarkEnd w:id="0"/>
    <w:p w14:paraId="6DD2DACA" w14:textId="77777777" w:rsidR="00692C53" w:rsidRDefault="00692C53" w:rsidP="00824AD8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p w14:paraId="6ED5670D" w14:textId="77777777" w:rsidR="00692C53" w:rsidRDefault="00692C53" w:rsidP="00824AD8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p w14:paraId="10D0198B" w14:textId="77777777" w:rsidR="00692C53" w:rsidRDefault="00692C53" w:rsidP="00824AD8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p w14:paraId="6E8D5F41" w14:textId="77777777" w:rsidR="00692C53" w:rsidRDefault="00692C53" w:rsidP="00824AD8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p w14:paraId="0608A987" w14:textId="408C32CE" w:rsidR="00824AD8" w:rsidRPr="00F33E3B" w:rsidRDefault="00824AD8" w:rsidP="00824AD8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hAnsi="Gothic720 BT" w:cs="Arial"/>
          <w:b/>
          <w:sz w:val="21"/>
          <w:szCs w:val="21"/>
        </w:rPr>
      </w:pPr>
      <w:r w:rsidRPr="00F33E3B">
        <w:rPr>
          <w:rFonts w:ascii="Gothic720 BT" w:hAnsi="Gothic720 BT" w:cs="Arial"/>
          <w:b/>
          <w:sz w:val="21"/>
          <w:szCs w:val="21"/>
        </w:rPr>
        <w:lastRenderedPageBreak/>
        <w:t>Notifíquese en los estrados del Consejo Municipal de Colón del Instituto Electoral del Estado de Querétaro, con fundamento en los artículos 50, fracciones I y II, 51, 52 y 56, fracciones I y II de la Ley de Medios de Impugnación en Materia Electoral del Estado de Querétaro.</w:t>
      </w:r>
    </w:p>
    <w:p w14:paraId="155C48F5" w14:textId="77777777" w:rsidR="00824AD8" w:rsidRPr="00F33E3B" w:rsidRDefault="00824AD8" w:rsidP="00824AD8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hAnsi="Gothic720 BT" w:cs="Arial"/>
          <w:b/>
          <w:sz w:val="21"/>
          <w:szCs w:val="21"/>
        </w:rPr>
      </w:pPr>
    </w:p>
    <w:p w14:paraId="1067993A" w14:textId="77777777" w:rsidR="00824AD8" w:rsidRPr="00F33E3B" w:rsidRDefault="00824AD8" w:rsidP="00824AD8">
      <w:pPr>
        <w:pStyle w:val="Prrafodelista"/>
        <w:ind w:left="1416"/>
        <w:jc w:val="both"/>
        <w:rPr>
          <w:rFonts w:ascii="Gothic720 BT" w:hAnsi="Gothic720 BT" w:cs="Arial"/>
          <w:b/>
          <w:bCs/>
          <w:sz w:val="21"/>
          <w:szCs w:val="21"/>
        </w:rPr>
      </w:pPr>
      <w:r w:rsidRPr="00F33E3B">
        <w:rPr>
          <w:rFonts w:ascii="Gothic720 BT" w:hAnsi="Gothic720 BT" w:cs="Arial"/>
          <w:bCs/>
          <w:sz w:val="21"/>
          <w:szCs w:val="21"/>
        </w:rPr>
        <w:t xml:space="preserve">Así lo proveyó y firmó el Secretario Técnico del Consejo Municipal de Colón del Instituto Electoral del Estado de Querétaro, quien autoriza. </w:t>
      </w:r>
      <w:r w:rsidRPr="00F33E3B">
        <w:rPr>
          <w:rFonts w:ascii="Gothic720 BT" w:hAnsi="Gothic720 BT" w:cs="Arial"/>
          <w:b/>
          <w:bCs/>
          <w:sz w:val="21"/>
          <w:szCs w:val="21"/>
        </w:rPr>
        <w:t>Conste.</w:t>
      </w:r>
    </w:p>
    <w:p w14:paraId="716DFEB7" w14:textId="77777777" w:rsidR="00824AD8" w:rsidRPr="00F33E3B" w:rsidRDefault="00824AD8" w:rsidP="00824A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416" w:right="-93" w:firstLine="708"/>
        <w:jc w:val="center"/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</w:pPr>
    </w:p>
    <w:p w14:paraId="23D1989C" w14:textId="77777777" w:rsidR="00824AD8" w:rsidRDefault="00824AD8" w:rsidP="00824A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416" w:right="-93" w:firstLine="708"/>
        <w:jc w:val="center"/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</w:pPr>
    </w:p>
    <w:p w14:paraId="3AD86254" w14:textId="77777777" w:rsidR="00824AD8" w:rsidRPr="00F33E3B" w:rsidRDefault="00824AD8" w:rsidP="00824AD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1416" w:right="-93" w:firstLine="708"/>
        <w:jc w:val="center"/>
        <w:rPr>
          <w:rFonts w:ascii="Gothic720 BT" w:eastAsia="Gothic720 BT" w:hAnsi="Gothic720 BT" w:cs="Gothic720 BT"/>
          <w:b/>
          <w:color w:val="000000"/>
          <w:sz w:val="21"/>
          <w:szCs w:val="21"/>
          <w:lang w:eastAsia="es-MX"/>
        </w:rPr>
      </w:pPr>
    </w:p>
    <w:p w14:paraId="1A40F933" w14:textId="77777777" w:rsidR="00824AD8" w:rsidRPr="00F33E3B" w:rsidRDefault="00824AD8" w:rsidP="00824AD8">
      <w:pPr>
        <w:pStyle w:val="Default"/>
        <w:tabs>
          <w:tab w:val="left" w:pos="851"/>
          <w:tab w:val="left" w:pos="993"/>
        </w:tabs>
        <w:ind w:left="1416" w:right="-93"/>
        <w:jc w:val="center"/>
        <w:rPr>
          <w:rFonts w:ascii="Gothic720 BT" w:hAnsi="Gothic720 BT" w:cs="Arial"/>
          <w:b/>
          <w:bCs/>
          <w:color w:val="auto"/>
          <w:sz w:val="21"/>
          <w:szCs w:val="21"/>
          <w:lang w:val="es-MX"/>
        </w:rPr>
      </w:pPr>
      <w:r w:rsidRPr="00F33E3B">
        <w:rPr>
          <w:rFonts w:ascii="Gothic720 BT" w:hAnsi="Gothic720 BT" w:cs="Arial"/>
          <w:b/>
          <w:bCs/>
          <w:color w:val="auto"/>
          <w:sz w:val="21"/>
          <w:szCs w:val="21"/>
          <w:lang w:val="es-MX"/>
        </w:rPr>
        <w:t>Lic. Luis Enrique Rojas Mijangos</w:t>
      </w:r>
    </w:p>
    <w:p w14:paraId="49A4D459" w14:textId="77777777" w:rsidR="00824AD8" w:rsidRPr="00F33E3B" w:rsidRDefault="00824AD8" w:rsidP="00824AD8">
      <w:pPr>
        <w:pStyle w:val="Default"/>
        <w:tabs>
          <w:tab w:val="left" w:pos="851"/>
          <w:tab w:val="left" w:pos="993"/>
        </w:tabs>
        <w:ind w:left="1416" w:right="-93"/>
        <w:jc w:val="center"/>
        <w:rPr>
          <w:sz w:val="21"/>
          <w:szCs w:val="21"/>
        </w:rPr>
      </w:pPr>
      <w:r w:rsidRPr="00F33E3B">
        <w:rPr>
          <w:rFonts w:ascii="Gothic720 BT" w:hAnsi="Gothic720 BT" w:cs="Arial"/>
          <w:bCs/>
          <w:color w:val="auto"/>
          <w:sz w:val="21"/>
          <w:szCs w:val="21"/>
          <w:lang w:val="es-MX"/>
        </w:rPr>
        <w:t>Secretario Técnico del Consejo Municipal de Colón</w:t>
      </w:r>
    </w:p>
    <w:p w14:paraId="5373245C" w14:textId="77777777" w:rsidR="00824AD8" w:rsidRPr="00F33E3B" w:rsidRDefault="00824AD8" w:rsidP="00824AD8">
      <w:pPr>
        <w:ind w:left="1416"/>
        <w:rPr>
          <w:sz w:val="21"/>
          <w:szCs w:val="21"/>
        </w:rPr>
      </w:pPr>
    </w:p>
    <w:p w14:paraId="0346C8F3" w14:textId="77777777" w:rsidR="00824AD8" w:rsidRPr="00F33E3B" w:rsidRDefault="00824AD8" w:rsidP="00824AD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othic720 BT" w:eastAsia="Gothic720 BT" w:hAnsi="Gothic720 BT" w:cs="Gothic720 BT"/>
          <w:color w:val="000000"/>
          <w:sz w:val="21"/>
          <w:szCs w:val="21"/>
          <w:lang w:eastAsia="es-MX"/>
        </w:rPr>
      </w:pPr>
    </w:p>
    <w:bookmarkEnd w:id="1"/>
    <w:p w14:paraId="314BFE33" w14:textId="77777777" w:rsidR="000C71E3" w:rsidRDefault="000C71E3"/>
    <w:sectPr w:rsidR="000C71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664C0" w14:textId="77777777" w:rsidR="0050197E" w:rsidRDefault="0050197E" w:rsidP="00824AD8">
      <w:pPr>
        <w:spacing w:after="0" w:line="240" w:lineRule="auto"/>
      </w:pPr>
      <w:r>
        <w:separator/>
      </w:r>
    </w:p>
  </w:endnote>
  <w:endnote w:type="continuationSeparator" w:id="0">
    <w:p w14:paraId="30CD0846" w14:textId="77777777" w:rsidR="0050197E" w:rsidRDefault="0050197E" w:rsidP="0082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B4B40" w14:textId="77777777" w:rsidR="0050197E" w:rsidRDefault="0050197E" w:rsidP="00824AD8">
      <w:pPr>
        <w:spacing w:after="0" w:line="240" w:lineRule="auto"/>
      </w:pPr>
      <w:r>
        <w:separator/>
      </w:r>
    </w:p>
  </w:footnote>
  <w:footnote w:type="continuationSeparator" w:id="0">
    <w:p w14:paraId="5DA330CF" w14:textId="77777777" w:rsidR="0050197E" w:rsidRDefault="0050197E" w:rsidP="00824AD8">
      <w:pPr>
        <w:spacing w:after="0" w:line="240" w:lineRule="auto"/>
      </w:pPr>
      <w:r>
        <w:continuationSeparator/>
      </w:r>
    </w:p>
  </w:footnote>
  <w:footnote w:id="1">
    <w:p w14:paraId="4D97B87E" w14:textId="77777777" w:rsidR="00824AD8" w:rsidRPr="00915E65" w:rsidRDefault="00824AD8" w:rsidP="00824AD8">
      <w:pPr>
        <w:pStyle w:val="Textonotapie"/>
        <w:rPr>
          <w:rFonts w:ascii="Gothic720 BT" w:hAnsi="Gothic720 BT"/>
          <w:sz w:val="16"/>
          <w:szCs w:val="16"/>
        </w:rPr>
      </w:pPr>
      <w:r w:rsidRPr="00915E65">
        <w:rPr>
          <w:rStyle w:val="Refdenotaalpie"/>
          <w:rFonts w:ascii="Gothic720 BT" w:hAnsi="Gothic720 BT"/>
          <w:sz w:val="16"/>
          <w:szCs w:val="16"/>
        </w:rPr>
        <w:footnoteRef/>
      </w:r>
      <w:r w:rsidRPr="00915E65">
        <w:rPr>
          <w:rFonts w:ascii="Gothic720 BT" w:hAnsi="Gothic720 BT"/>
          <w:sz w:val="16"/>
          <w:szCs w:val="16"/>
        </w:rPr>
        <w:t xml:space="preserve"> En adelante aspirante.</w:t>
      </w:r>
    </w:p>
  </w:footnote>
  <w:footnote w:id="2">
    <w:p w14:paraId="508D85AD" w14:textId="77777777" w:rsidR="00824AD8" w:rsidRPr="00915E65" w:rsidRDefault="00824AD8" w:rsidP="00824AD8">
      <w:pPr>
        <w:pStyle w:val="Textonotapie"/>
        <w:rPr>
          <w:rFonts w:ascii="Gothic720 BT" w:hAnsi="Gothic720 BT"/>
          <w:sz w:val="16"/>
          <w:szCs w:val="16"/>
        </w:rPr>
      </w:pPr>
      <w:r w:rsidRPr="00915E65">
        <w:rPr>
          <w:rStyle w:val="Refdenotaalpie"/>
          <w:rFonts w:ascii="Gothic720 BT" w:hAnsi="Gothic720 BT"/>
          <w:sz w:val="16"/>
          <w:szCs w:val="16"/>
        </w:rPr>
        <w:footnoteRef/>
      </w:r>
      <w:r w:rsidRPr="00915E65">
        <w:rPr>
          <w:rFonts w:ascii="Gothic720 BT" w:hAnsi="Gothic720 BT"/>
          <w:sz w:val="16"/>
          <w:szCs w:val="16"/>
        </w:rPr>
        <w:t xml:space="preserve"> En adelante Constitución Federal.</w:t>
      </w:r>
    </w:p>
  </w:footnote>
  <w:footnote w:id="3">
    <w:p w14:paraId="604E2EC3" w14:textId="77777777" w:rsidR="00824AD8" w:rsidRDefault="00824AD8" w:rsidP="00824AD8">
      <w:pPr>
        <w:pStyle w:val="Textonotapie"/>
      </w:pPr>
      <w:r w:rsidRPr="00915E65">
        <w:rPr>
          <w:rStyle w:val="Refdenotaalpie"/>
          <w:rFonts w:ascii="Gothic720 BT" w:hAnsi="Gothic720 BT"/>
          <w:sz w:val="16"/>
          <w:szCs w:val="16"/>
        </w:rPr>
        <w:footnoteRef/>
      </w:r>
      <w:r w:rsidRPr="00915E65">
        <w:rPr>
          <w:rFonts w:ascii="Gothic720 BT" w:hAnsi="Gothic720 BT"/>
          <w:sz w:val="16"/>
          <w:szCs w:val="16"/>
        </w:rPr>
        <w:t xml:space="preserve"> En adelante Ley Electoral.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D8"/>
    <w:rsid w:val="000C71E3"/>
    <w:rsid w:val="0050197E"/>
    <w:rsid w:val="00692C53"/>
    <w:rsid w:val="007444EA"/>
    <w:rsid w:val="00824AD8"/>
    <w:rsid w:val="00C82653"/>
    <w:rsid w:val="00FD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5519F"/>
  <w15:chartTrackingRefBased/>
  <w15:docId w15:val="{3918AB96-5048-4772-85A9-1659F85B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D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4AD8"/>
    <w:pPr>
      <w:ind w:left="720"/>
      <w:contextualSpacing/>
    </w:pPr>
  </w:style>
  <w:style w:type="paragraph" w:customStyle="1" w:styleId="Default">
    <w:name w:val="Default"/>
    <w:rsid w:val="00824A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4A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4AD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24AD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824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IEEQ .</dc:creator>
  <cp:keywords/>
  <dc:description/>
  <cp:lastModifiedBy>IEEQ .</cp:lastModifiedBy>
  <cp:revision>2</cp:revision>
  <cp:lastPrinted>2021-01-28T18:26:00Z</cp:lastPrinted>
  <dcterms:created xsi:type="dcterms:W3CDTF">2021-01-28T18:43:00Z</dcterms:created>
  <dcterms:modified xsi:type="dcterms:W3CDTF">2021-01-28T18:43:00Z</dcterms:modified>
</cp:coreProperties>
</file>