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5865"/>
      </w:tblGrid>
      <w:tr w:rsidR="00553EA1" w:rsidRPr="00F33E3B" w14:paraId="74D3F886" w14:textId="77777777" w:rsidTr="00295353">
        <w:trPr>
          <w:trHeight w:val="1236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6A893B34" w14:textId="77777777" w:rsidR="00553EA1" w:rsidRPr="00F33E3B" w:rsidRDefault="00553EA1" w:rsidP="002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/>
              <w:jc w:val="both"/>
              <w:rPr>
                <w:rFonts w:ascii="Gothic720 BT" w:eastAsia="Gothic720 BT" w:hAnsi="Gothic720 BT" w:cs="Gothic720 BT"/>
                <w:b/>
                <w:color w:val="000000"/>
                <w:sz w:val="21"/>
                <w:szCs w:val="21"/>
                <w:lang w:eastAsia="es-MX"/>
              </w:rPr>
            </w:pPr>
            <w:bookmarkStart w:id="0" w:name="_Hlk60319536"/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14:paraId="2DB13BF8" w14:textId="77777777" w:rsidR="00553EA1" w:rsidRPr="00F33E3B" w:rsidRDefault="00553EA1" w:rsidP="00295353">
            <w:pPr>
              <w:tabs>
                <w:tab w:val="left" w:pos="851"/>
              </w:tabs>
              <w:spacing w:after="0" w:line="240" w:lineRule="auto"/>
              <w:ind w:left="1416" w:right="-93"/>
              <w:jc w:val="both"/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</w:pPr>
          </w:p>
          <w:p w14:paraId="03565929" w14:textId="145CFF6A" w:rsidR="00553EA1" w:rsidRPr="00F33E3B" w:rsidRDefault="005D1CE7" w:rsidP="005D1CE7">
            <w:pPr>
              <w:tabs>
                <w:tab w:val="left" w:pos="851"/>
              </w:tabs>
              <w:spacing w:after="0" w:line="240" w:lineRule="auto"/>
              <w:ind w:right="-93"/>
              <w:jc w:val="both"/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</w:pPr>
            <w:r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  <w:t xml:space="preserve">                         </w:t>
            </w:r>
            <w:r w:rsidR="00553EA1" w:rsidRPr="00F33E3B"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  <w:t xml:space="preserve">EXPEDIENTE: </w:t>
            </w:r>
            <w:r w:rsidR="00553EA1" w:rsidRPr="00F33E3B">
              <w:rPr>
                <w:rFonts w:ascii="Gothic720 BT" w:hAnsi="Gothic720 BT" w:cs="Arial"/>
                <w:sz w:val="21"/>
                <w:szCs w:val="21"/>
              </w:rPr>
              <w:t>IEEQ/CMCOL/CI/A/00</w:t>
            </w:r>
            <w:r w:rsidR="00553EA1">
              <w:rPr>
                <w:rFonts w:ascii="Gothic720 BT" w:hAnsi="Gothic720 BT" w:cs="Arial"/>
                <w:sz w:val="21"/>
                <w:szCs w:val="21"/>
              </w:rPr>
              <w:t>2</w:t>
            </w:r>
            <w:r w:rsidR="00553EA1" w:rsidRPr="00F33E3B">
              <w:rPr>
                <w:rFonts w:ascii="Gothic720 BT" w:hAnsi="Gothic720 BT" w:cs="Arial"/>
                <w:sz w:val="21"/>
                <w:szCs w:val="21"/>
              </w:rPr>
              <w:t>/2020-P</w:t>
            </w:r>
          </w:p>
          <w:p w14:paraId="22A738FC" w14:textId="77777777" w:rsidR="00553EA1" w:rsidRPr="00F33E3B" w:rsidRDefault="00553EA1" w:rsidP="002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1416" w:right="-93"/>
              <w:jc w:val="both"/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</w:pPr>
          </w:p>
          <w:p w14:paraId="0441F324" w14:textId="52A43CCD" w:rsidR="00553EA1" w:rsidRPr="00F33E3B" w:rsidRDefault="00553EA1" w:rsidP="00295353">
            <w:pPr>
              <w:tabs>
                <w:tab w:val="left" w:pos="851"/>
              </w:tabs>
              <w:spacing w:after="0" w:line="240" w:lineRule="auto"/>
              <w:ind w:left="1416" w:right="-93"/>
              <w:jc w:val="both"/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</w:pPr>
            <w:r w:rsidRPr="00F33E3B"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  <w:t>PROMOVENTE:</w:t>
            </w:r>
            <w:r w:rsidRPr="00F33E3B"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  <w:t xml:space="preserve"> </w:t>
            </w:r>
            <w:r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  <w:t>MARIA HERNANDEZ URIBE</w:t>
            </w:r>
          </w:p>
          <w:p w14:paraId="71196C84" w14:textId="77777777" w:rsidR="00553EA1" w:rsidRPr="00F33E3B" w:rsidRDefault="00553EA1" w:rsidP="00295353">
            <w:pPr>
              <w:tabs>
                <w:tab w:val="left" w:pos="851"/>
              </w:tabs>
              <w:spacing w:after="0" w:line="240" w:lineRule="auto"/>
              <w:ind w:left="1416" w:right="-93"/>
              <w:jc w:val="both"/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</w:pPr>
          </w:p>
          <w:p w14:paraId="7764E5E2" w14:textId="74C07486" w:rsidR="00553EA1" w:rsidRPr="00F33E3B" w:rsidRDefault="00553EA1" w:rsidP="00295353">
            <w:pPr>
              <w:tabs>
                <w:tab w:val="left" w:pos="851"/>
              </w:tabs>
              <w:spacing w:after="0" w:line="240" w:lineRule="auto"/>
              <w:ind w:left="1416" w:right="136"/>
              <w:jc w:val="both"/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</w:pPr>
            <w:r w:rsidRPr="00F33E3B"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  <w:t xml:space="preserve">ASUNTO: </w:t>
            </w:r>
            <w:r w:rsidRPr="00F33E3B"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  <w:t xml:space="preserve">SE </w:t>
            </w:r>
            <w:r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  <w:t>GIRA OFICIO</w:t>
            </w:r>
          </w:p>
        </w:tc>
      </w:tr>
    </w:tbl>
    <w:p w14:paraId="02F21C67" w14:textId="77777777" w:rsidR="00553EA1" w:rsidRPr="00F33E3B" w:rsidRDefault="00553EA1" w:rsidP="00553EA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1D38484D" w14:textId="2DAAA4C1" w:rsidR="00553EA1" w:rsidRPr="00F33E3B" w:rsidRDefault="00553EA1" w:rsidP="00553EA1">
      <w:pPr>
        <w:pBdr>
          <w:top w:val="nil"/>
          <w:left w:val="nil"/>
          <w:bottom w:val="nil"/>
          <w:right w:val="nil"/>
          <w:between w:val="nil"/>
        </w:pBdr>
        <w:spacing w:after="0"/>
        <w:ind w:left="1416" w:firstLine="708"/>
        <w:jc w:val="right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Colón, Querétaro, a </w:t>
      </w:r>
      <w:r w:rsidR="00B73ADD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cuatro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de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febrero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de dos mil veintiuno.</w:t>
      </w:r>
    </w:p>
    <w:p w14:paraId="133A8440" w14:textId="77777777" w:rsidR="00553EA1" w:rsidRPr="00F33E3B" w:rsidRDefault="00553EA1" w:rsidP="00553EA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46F0404D" w14:textId="2EE53514" w:rsidR="00553EA1" w:rsidRPr="00F33E3B" w:rsidRDefault="00553EA1" w:rsidP="0065730B">
      <w:pP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  <w:r w:rsidRPr="00F33E3B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>VISTO</w:t>
      </w:r>
      <w:r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 xml:space="preserve">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que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en fecha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dos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de febrero de dos mil veintiuno,</w:t>
      </w:r>
      <w:r w:rsidRPr="00F33E3B">
        <w:rPr>
          <w:rStyle w:val="Refdenotaalpie"/>
          <w:rFonts w:ascii="Gothic720 BT" w:eastAsia="Gothic720 BT" w:hAnsi="Gothic720 BT" w:cs="Gothic720 BT"/>
          <w:color w:val="000000"/>
          <w:sz w:val="21"/>
          <w:szCs w:val="21"/>
          <w:lang w:eastAsia="es-MX"/>
        </w:rPr>
        <w:footnoteReference w:id="1"/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fue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presentado en este Consejo Municipal,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un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escrito signado por parte de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María Hernández Uribe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, registrado con folio 00000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50</w:t>
      </w:r>
      <w:r w:rsidR="00D26C56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,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 w:rsidR="00D26C56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por medio del cual </w:t>
      </w:r>
      <w:r w:rsidR="0017610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la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promovente manifiesta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que </w:t>
      </w:r>
      <w:r w:rsidR="007621B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derivado del 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acuerdo</w:t>
      </w:r>
      <w:r w:rsidR="007621B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dictado en</w:t>
      </w:r>
      <w:r w:rsidR="007621B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fecha veintinueve de enero del año en curso, dentro del expediente 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TEEQ/-JLD-63/2020</w:t>
      </w:r>
      <w:r w:rsidR="007621B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por parte de </w:t>
      </w:r>
      <w:r w:rsidR="007621B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la ponencia del 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Magistrado Martin</w:t>
      </w:r>
      <w:r w:rsidR="007621B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Silva 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Vázquez; en donde fue declarada firme la sentencia de fecha ocho de enero de dos mil veintiuno, sentencia </w:t>
      </w:r>
      <w:r w:rsidR="00D26C56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que 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confirmó la resolución emitida por este Consejo Municipal</w:t>
      </w:r>
      <w:r w:rsidR="0017610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, donde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se determinó la no presentación del escrito de manifestación de intención de registro de </w:t>
      </w:r>
      <w:r w:rsidR="005D1CE7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la solicitante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. </w:t>
      </w:r>
      <w:r w:rsidR="005D1CE7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La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promovente solicita se gire oficio a la Junta Local Ejecutiva del Instituto Nacional Electoral con residencia en </w:t>
      </w:r>
      <w:r w:rsidR="0017610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Querétaro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, lo anterior a efecto de que por su conducto se haga saber a la </w:t>
      </w:r>
      <w:r w:rsidR="00C04F14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Unidad Técnica 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de </w:t>
      </w:r>
      <w:r w:rsidR="00C04F14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Fiscalización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que no le fue concedido el registro como candidata independiente</w:t>
      </w:r>
      <w:r w:rsidR="00D26C56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, </w:t>
      </w:r>
      <w:r w:rsidR="00C35110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por lo que no tiene la obligación </w:t>
      </w:r>
      <w:r w:rsidR="0017610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de cumplir con las obligaciones que para tal efecto determina la legislación aplicable.</w:t>
      </w:r>
      <w:r w:rsidR="0065730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 w:rsidR="00176109" w:rsidRPr="00176109">
        <w:rPr>
          <w:rFonts w:ascii="Gothic720 BT" w:eastAsia="Gothic720 BT" w:hAnsi="Gothic720 BT" w:cs="Gothic720 BT"/>
          <w:bCs/>
          <w:color w:val="000000"/>
          <w:sz w:val="21"/>
          <w:szCs w:val="21"/>
          <w:lang w:eastAsia="es-MX"/>
        </w:rPr>
        <w:t>Por lo anteriormente expuesto y</w:t>
      </w:r>
      <w:r w:rsidR="00176109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 xml:space="preserve">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con fundamento en los artículos 8 de la Constitución Política de los Estados Unidos Mexicanos</w:t>
      </w:r>
      <w:r w:rsidRPr="00F33E3B">
        <w:rPr>
          <w:rStyle w:val="Refdenotaalpie"/>
          <w:rFonts w:ascii="Gothic720 BT" w:eastAsia="Gothic720 BT" w:hAnsi="Gothic720 BT" w:cs="Gothic720 BT"/>
          <w:color w:val="000000"/>
          <w:sz w:val="21"/>
          <w:szCs w:val="21"/>
          <w:lang w:eastAsia="es-MX"/>
        </w:rPr>
        <w:footnoteReference w:id="2"/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y 86, fracciones I y X de la Ley Electoral del Estado de Querétaro,</w:t>
      </w:r>
      <w:r w:rsidRPr="00F33E3B">
        <w:rPr>
          <w:rStyle w:val="Refdenotaalpie"/>
          <w:rFonts w:ascii="Gothic720 BT" w:eastAsia="Gothic720 BT" w:hAnsi="Gothic720 BT" w:cs="Gothic720 BT"/>
          <w:color w:val="000000"/>
          <w:sz w:val="21"/>
          <w:szCs w:val="21"/>
          <w:lang w:eastAsia="es-MX"/>
        </w:rPr>
        <w:footnoteReference w:id="3"/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la Secretaria Técnica, </w:t>
      </w:r>
      <w:r w:rsidRPr="00F33E3B">
        <w:rPr>
          <w:rFonts w:ascii="Gothic720 BT" w:eastAsia="Gothic720 BT" w:hAnsi="Gothic720 BT" w:cs="Gothic720 BT"/>
          <w:b/>
          <w:bCs/>
          <w:color w:val="000000"/>
          <w:sz w:val="21"/>
          <w:szCs w:val="21"/>
          <w:lang w:eastAsia="es-MX"/>
        </w:rPr>
        <w:t>ACUERDA</w:t>
      </w:r>
      <w:r w:rsidRPr="00F33E3B">
        <w:rPr>
          <w:rFonts w:ascii="Gothic720 BT" w:hAnsi="Gothic720 BT" w:cs="Arial"/>
          <w:b/>
          <w:bCs/>
          <w:sz w:val="21"/>
          <w:szCs w:val="21"/>
        </w:rPr>
        <w:t>:</w:t>
      </w:r>
    </w:p>
    <w:p w14:paraId="09DF9488" w14:textId="77777777" w:rsidR="00553EA1" w:rsidRPr="00F33E3B" w:rsidRDefault="00553EA1" w:rsidP="00553EA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6151CE9D" w14:textId="72FC1D77" w:rsidR="00553EA1" w:rsidRPr="00F33E3B" w:rsidRDefault="00553EA1" w:rsidP="00553EA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  <w:r w:rsidRPr="00F33E3B">
        <w:rPr>
          <w:rFonts w:ascii="Gothic720 BT" w:eastAsia="Gothic720 BT" w:hAnsi="Gothic720 BT" w:cs="Gothic720 BT"/>
          <w:b/>
          <w:caps/>
          <w:color w:val="000000"/>
          <w:sz w:val="21"/>
          <w:szCs w:val="21"/>
          <w:lang w:eastAsia="es-MX"/>
        </w:rPr>
        <w:t>Primero</w:t>
      </w:r>
      <w:r w:rsidRPr="00F33E3B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>.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 w:rsidRPr="00F33E3B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>Recepción.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Se tienen por recibido </w:t>
      </w:r>
      <w:r w:rsidR="0017610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el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escrito de cuenta</w:t>
      </w:r>
      <w:r w:rsidR="0017610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,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mismo que consta </w:t>
      </w:r>
      <w:r w:rsidR="0017610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de tres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foja</w:t>
      </w:r>
      <w:r w:rsidR="0017610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s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 w:rsidR="0017610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útiles,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inscrita</w:t>
      </w:r>
      <w:r w:rsidR="0017610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s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únicamente por su anverso, respectivamente, mismo que se ordena agregar en autos del expediente en que se actúa, a fin de que surtan sus efectos conducentes.  </w:t>
      </w:r>
    </w:p>
    <w:p w14:paraId="1A70597E" w14:textId="77777777" w:rsidR="00553EA1" w:rsidRPr="00F33E3B" w:rsidRDefault="00553EA1" w:rsidP="00553EA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bCs/>
          <w:color w:val="000000"/>
          <w:sz w:val="21"/>
          <w:szCs w:val="21"/>
          <w:lang w:eastAsia="es-MX"/>
        </w:rPr>
      </w:pPr>
    </w:p>
    <w:p w14:paraId="44D302D7" w14:textId="203B7106" w:rsidR="0065730B" w:rsidRDefault="00553EA1" w:rsidP="00553EA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  <w:r w:rsidRPr="00F33E3B">
        <w:rPr>
          <w:rFonts w:ascii="Gothic720 BT" w:eastAsia="Gothic720 BT" w:hAnsi="Gothic720 BT" w:cs="Gothic720 BT"/>
          <w:b/>
          <w:caps/>
          <w:color w:val="000000"/>
          <w:sz w:val="21"/>
          <w:szCs w:val="21"/>
          <w:lang w:eastAsia="es-MX"/>
        </w:rPr>
        <w:t>Segundo.</w:t>
      </w:r>
      <w:r w:rsidRPr="00F33E3B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 xml:space="preserve"> Escrito con folio 00000</w:t>
      </w:r>
      <w:r w:rsidR="00176109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>50</w:t>
      </w:r>
      <w:r w:rsidRPr="00F33E3B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 xml:space="preserve">.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Del proemio que antecede se tiene que </w:t>
      </w:r>
      <w:r w:rsidR="0017610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la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promovente, manifiesta</w:t>
      </w:r>
      <w:r w:rsidR="0065730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su intención de informar a la Unidad Técnica de </w:t>
      </w:r>
      <w:r w:rsidR="00C04F14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Fiscalización </w:t>
      </w:r>
      <w:r w:rsidR="0065730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del Instituto Nacional Electoral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 w:rsidR="00937C65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que no le fue concedido el registro como aspirante a una candidatura independiente y por lo tanto no tiene la obligación de colmar las obligaciones que determina la norma.</w:t>
      </w:r>
    </w:p>
    <w:p w14:paraId="7DA11909" w14:textId="77777777" w:rsidR="0065730B" w:rsidRDefault="0065730B" w:rsidP="00553EA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44A61C3C" w14:textId="77777777" w:rsidR="00553EA1" w:rsidRPr="00F33E3B" w:rsidRDefault="00553EA1" w:rsidP="00553EA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416AC02D" w14:textId="2C9EF124" w:rsidR="00C119C4" w:rsidRPr="00F33E3B" w:rsidRDefault="00026421" w:rsidP="00C119C4">
      <w:pPr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lastRenderedPageBreak/>
        <w:t>Por lo</w:t>
      </w:r>
      <w:r w:rsidR="005F7158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antes </w:t>
      </w:r>
      <w:r w:rsidR="00380C82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expuesto,</w:t>
      </w:r>
      <w:r w:rsidR="00EE1079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 w:rsidR="0091439C"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se ordena girar</w:t>
      </w:r>
      <w:r w:rsidR="00D26C56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atento</w:t>
      </w:r>
      <w:r w:rsidR="0091439C"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oficio a</w:t>
      </w:r>
      <w:r w:rsidR="0091439C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l Secretario Ejecutivo del Instituto Electoral del Estado de Querétaro, a efecto de</w:t>
      </w:r>
      <w:r w:rsidR="00380C82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canalizar </w:t>
      </w:r>
      <w:r w:rsidR="00A7761E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a través de copia certificada</w:t>
      </w:r>
      <w:r w:rsidR="00521618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,</w:t>
      </w:r>
      <w:r w:rsidR="00A7761E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 w:rsidR="00380C82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la petición que formula la promovente </w:t>
      </w:r>
      <w:r w:rsidR="00C119C4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y se analice la procedencia de la misma; lo anterior debido a que de acuerdo con lo establecido en </w:t>
      </w:r>
      <w:r w:rsidR="00C119C4"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los artículos 41, base V, apartado B, inciso a), punto 6 de la Constitución Federal; 2 y 3 del Reglamento de Fiscalización del Instituto Nacional Electoral</w:t>
      </w:r>
      <w:r w:rsidR="00C119C4" w:rsidRPr="00F33E3B">
        <w:rPr>
          <w:rStyle w:val="Refdenotaalpie"/>
          <w:rFonts w:ascii="Gothic720 BT" w:eastAsia="Gothic720 BT" w:hAnsi="Gothic720 BT" w:cs="Gothic720 BT"/>
          <w:color w:val="000000"/>
          <w:sz w:val="21"/>
          <w:szCs w:val="21"/>
          <w:lang w:eastAsia="es-MX"/>
        </w:rPr>
        <w:footnoteReference w:id="4"/>
      </w:r>
      <w:r w:rsidR="00C119C4"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y 32, fracción VI de la Ley General de Instituciones y Procedimientos Electorales,</w:t>
      </w:r>
      <w:r w:rsidR="00C119C4" w:rsidRPr="00F33E3B">
        <w:rPr>
          <w:rStyle w:val="Refdenotaalpie"/>
          <w:rFonts w:ascii="Gothic720 BT" w:eastAsia="Gothic720 BT" w:hAnsi="Gothic720 BT" w:cs="Gothic720 BT"/>
          <w:color w:val="000000"/>
          <w:sz w:val="21"/>
          <w:szCs w:val="21"/>
          <w:lang w:eastAsia="es-MX"/>
        </w:rPr>
        <w:footnoteReference w:id="5"/>
      </w:r>
      <w:r w:rsidR="00C119C4"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si bien corresponde a este órgano electoral local llevar a cabo todas aquellas acciones relacionadas con el registro de las personas aspirantes y candidaturas independientes, verificando el cumplimiento de sus obligaciones, entre estas, las relacionadas en materia de fiscalización, también corresponde exclusivamente al Instituto Nacional Electoral ejecutar las acciones de fiscalización a los sujetos obligados</w:t>
      </w:r>
      <w:r w:rsidR="00A00796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.</w:t>
      </w:r>
    </w:p>
    <w:bookmarkEnd w:id="0"/>
    <w:p w14:paraId="1DF3D3AF" w14:textId="6F8A4EE6" w:rsidR="00C04F14" w:rsidRPr="007F0603" w:rsidRDefault="00C04F14" w:rsidP="007F0603">
      <w:pPr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0C0DB1A2" w14:textId="002533E4" w:rsidR="005D1CE7" w:rsidRPr="00F33E3B" w:rsidRDefault="005D1CE7" w:rsidP="005D1CE7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hAnsi="Gothic720 BT" w:cs="Arial"/>
          <w:b/>
          <w:sz w:val="21"/>
          <w:szCs w:val="21"/>
        </w:rPr>
      </w:pPr>
      <w:r w:rsidRPr="00F33E3B">
        <w:rPr>
          <w:rFonts w:ascii="Gothic720 BT" w:hAnsi="Gothic720 BT" w:cs="Arial"/>
          <w:b/>
          <w:sz w:val="21"/>
          <w:szCs w:val="21"/>
        </w:rPr>
        <w:t>Notifíquese en los estrados del Consejo Municipal de Colón del Instituto Electoral del Estado de Querétaro, con fundamento en los artículos 50, fracciones I y II, 51, 52 y 56, fracciones I y II de la Ley de Medios de Impugnación en Materia Electoral del Estado de Querétaro.</w:t>
      </w:r>
    </w:p>
    <w:p w14:paraId="47EA1D77" w14:textId="77777777" w:rsidR="00553EA1" w:rsidRPr="00F33E3B" w:rsidRDefault="00553EA1" w:rsidP="00553EA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hAnsi="Gothic720 BT" w:cs="Arial"/>
          <w:b/>
          <w:sz w:val="21"/>
          <w:szCs w:val="21"/>
        </w:rPr>
      </w:pPr>
    </w:p>
    <w:p w14:paraId="7B792F60" w14:textId="77777777" w:rsidR="00553EA1" w:rsidRPr="00F33E3B" w:rsidRDefault="00553EA1" w:rsidP="00553EA1">
      <w:pPr>
        <w:pStyle w:val="Prrafodelista"/>
        <w:ind w:left="1416"/>
        <w:jc w:val="both"/>
        <w:rPr>
          <w:rFonts w:ascii="Gothic720 BT" w:hAnsi="Gothic720 BT" w:cs="Arial"/>
          <w:b/>
          <w:bCs/>
          <w:sz w:val="21"/>
          <w:szCs w:val="21"/>
        </w:rPr>
      </w:pPr>
      <w:r w:rsidRPr="00F33E3B">
        <w:rPr>
          <w:rFonts w:ascii="Gothic720 BT" w:hAnsi="Gothic720 BT" w:cs="Arial"/>
          <w:bCs/>
          <w:sz w:val="21"/>
          <w:szCs w:val="21"/>
        </w:rPr>
        <w:t xml:space="preserve">Así lo proveyó y firmó el Secretario Técnico del Consejo Municipal de Colón del Instituto Electoral del Estado de Querétaro, quien autoriza. </w:t>
      </w:r>
      <w:r w:rsidRPr="00F33E3B">
        <w:rPr>
          <w:rFonts w:ascii="Gothic720 BT" w:hAnsi="Gothic720 BT" w:cs="Arial"/>
          <w:b/>
          <w:bCs/>
          <w:sz w:val="21"/>
          <w:szCs w:val="21"/>
        </w:rPr>
        <w:t>Conste.</w:t>
      </w:r>
    </w:p>
    <w:p w14:paraId="731B6B36" w14:textId="77777777" w:rsidR="00553EA1" w:rsidRPr="00F33E3B" w:rsidRDefault="00553EA1" w:rsidP="00553E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416" w:right="-93" w:firstLine="708"/>
        <w:jc w:val="center"/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</w:pPr>
    </w:p>
    <w:p w14:paraId="7DECE1D6" w14:textId="77777777" w:rsidR="00553EA1" w:rsidRDefault="00553EA1" w:rsidP="00553E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416" w:right="-93" w:firstLine="708"/>
        <w:jc w:val="center"/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</w:pPr>
    </w:p>
    <w:p w14:paraId="03A0CC40" w14:textId="77777777" w:rsidR="00553EA1" w:rsidRPr="00F33E3B" w:rsidRDefault="00553EA1" w:rsidP="00553EA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416" w:right="-93" w:firstLine="708"/>
        <w:jc w:val="center"/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</w:pPr>
    </w:p>
    <w:p w14:paraId="4AC87051" w14:textId="77777777" w:rsidR="00553EA1" w:rsidRPr="00F33E3B" w:rsidRDefault="00553EA1" w:rsidP="00553EA1">
      <w:pPr>
        <w:pStyle w:val="Default"/>
        <w:tabs>
          <w:tab w:val="left" w:pos="851"/>
          <w:tab w:val="left" w:pos="993"/>
        </w:tabs>
        <w:ind w:left="1416" w:right="-93"/>
        <w:jc w:val="center"/>
        <w:rPr>
          <w:rFonts w:ascii="Gothic720 BT" w:hAnsi="Gothic720 BT" w:cs="Arial"/>
          <w:b/>
          <w:bCs/>
          <w:color w:val="auto"/>
          <w:sz w:val="21"/>
          <w:szCs w:val="21"/>
          <w:lang w:val="es-MX"/>
        </w:rPr>
      </w:pPr>
      <w:r w:rsidRPr="00F33E3B">
        <w:rPr>
          <w:rFonts w:ascii="Gothic720 BT" w:hAnsi="Gothic720 BT" w:cs="Arial"/>
          <w:b/>
          <w:bCs/>
          <w:color w:val="auto"/>
          <w:sz w:val="21"/>
          <w:szCs w:val="21"/>
          <w:lang w:val="es-MX"/>
        </w:rPr>
        <w:t>Lic. Luis Enrique Rojas Mijangos</w:t>
      </w:r>
    </w:p>
    <w:p w14:paraId="0689AEB1" w14:textId="77777777" w:rsidR="00553EA1" w:rsidRPr="00F33E3B" w:rsidRDefault="00553EA1" w:rsidP="00553EA1">
      <w:pPr>
        <w:pStyle w:val="Default"/>
        <w:tabs>
          <w:tab w:val="left" w:pos="851"/>
          <w:tab w:val="left" w:pos="993"/>
        </w:tabs>
        <w:ind w:left="1416" w:right="-93"/>
        <w:jc w:val="center"/>
        <w:rPr>
          <w:sz w:val="21"/>
          <w:szCs w:val="21"/>
        </w:rPr>
      </w:pPr>
      <w:r w:rsidRPr="00F33E3B">
        <w:rPr>
          <w:rFonts w:ascii="Gothic720 BT" w:hAnsi="Gothic720 BT" w:cs="Arial"/>
          <w:bCs/>
          <w:color w:val="auto"/>
          <w:sz w:val="21"/>
          <w:szCs w:val="21"/>
          <w:lang w:val="es-MX"/>
        </w:rPr>
        <w:t>Secretario Técnico del Consejo Municipal de Colón</w:t>
      </w:r>
    </w:p>
    <w:p w14:paraId="6AFF78EA" w14:textId="77777777" w:rsidR="00553EA1" w:rsidRPr="00F33E3B" w:rsidRDefault="00553EA1" w:rsidP="00553EA1">
      <w:pPr>
        <w:ind w:left="1416"/>
        <w:rPr>
          <w:sz w:val="21"/>
          <w:szCs w:val="21"/>
        </w:rPr>
      </w:pPr>
    </w:p>
    <w:p w14:paraId="65CEA72F" w14:textId="77777777" w:rsidR="00553EA1" w:rsidRPr="00F33E3B" w:rsidRDefault="00553EA1" w:rsidP="00553EA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3953A6C3" w14:textId="77777777" w:rsidR="000C71E3" w:rsidRDefault="000C71E3"/>
    <w:sectPr w:rsidR="000C71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98D06" w14:textId="77777777" w:rsidR="00EF33EC" w:rsidRDefault="00EF33EC" w:rsidP="00553EA1">
      <w:pPr>
        <w:spacing w:after="0" w:line="240" w:lineRule="auto"/>
      </w:pPr>
      <w:r>
        <w:separator/>
      </w:r>
    </w:p>
  </w:endnote>
  <w:endnote w:type="continuationSeparator" w:id="0">
    <w:p w14:paraId="723B7CD8" w14:textId="77777777" w:rsidR="00EF33EC" w:rsidRDefault="00EF33EC" w:rsidP="0055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97A31" w14:textId="77777777" w:rsidR="00EF33EC" w:rsidRDefault="00EF33EC" w:rsidP="00553EA1">
      <w:pPr>
        <w:spacing w:after="0" w:line="240" w:lineRule="auto"/>
      </w:pPr>
      <w:r>
        <w:separator/>
      </w:r>
    </w:p>
  </w:footnote>
  <w:footnote w:type="continuationSeparator" w:id="0">
    <w:p w14:paraId="4AABB9CF" w14:textId="77777777" w:rsidR="00EF33EC" w:rsidRDefault="00EF33EC" w:rsidP="00553EA1">
      <w:pPr>
        <w:spacing w:after="0" w:line="240" w:lineRule="auto"/>
      </w:pPr>
      <w:r>
        <w:continuationSeparator/>
      </w:r>
    </w:p>
  </w:footnote>
  <w:footnote w:id="1">
    <w:p w14:paraId="43F0B1C8" w14:textId="77777777" w:rsidR="00553EA1" w:rsidRPr="00915E65" w:rsidRDefault="00553EA1" w:rsidP="00553EA1">
      <w:pPr>
        <w:pStyle w:val="Textonotapie"/>
        <w:jc w:val="both"/>
        <w:rPr>
          <w:rFonts w:ascii="Gothic720 BT" w:hAnsi="Gothic720 BT"/>
          <w:sz w:val="16"/>
          <w:szCs w:val="16"/>
        </w:rPr>
      </w:pPr>
      <w:r w:rsidRPr="00915E65">
        <w:rPr>
          <w:rStyle w:val="Refdenotaalpie"/>
          <w:rFonts w:ascii="Gothic720 BT" w:hAnsi="Gothic720 BT"/>
          <w:sz w:val="16"/>
          <w:szCs w:val="16"/>
        </w:rPr>
        <w:footnoteRef/>
      </w:r>
      <w:r w:rsidRPr="00915E65">
        <w:rPr>
          <w:rFonts w:ascii="Gothic720 BT" w:hAnsi="Gothic720 BT"/>
          <w:sz w:val="16"/>
          <w:szCs w:val="16"/>
        </w:rPr>
        <w:t xml:space="preserve"> En adelante las fechas se entenderán correspondientes al año dos mil veintiuno, salvo mención en contrario.</w:t>
      </w:r>
    </w:p>
  </w:footnote>
  <w:footnote w:id="2">
    <w:p w14:paraId="6DDE442D" w14:textId="77777777" w:rsidR="00553EA1" w:rsidRPr="00915E65" w:rsidRDefault="00553EA1" w:rsidP="00553EA1">
      <w:pPr>
        <w:pStyle w:val="Textonotapie"/>
        <w:rPr>
          <w:rFonts w:ascii="Gothic720 BT" w:hAnsi="Gothic720 BT"/>
          <w:sz w:val="16"/>
          <w:szCs w:val="16"/>
        </w:rPr>
      </w:pPr>
      <w:r w:rsidRPr="00915E65">
        <w:rPr>
          <w:rStyle w:val="Refdenotaalpie"/>
          <w:rFonts w:ascii="Gothic720 BT" w:hAnsi="Gothic720 BT"/>
          <w:sz w:val="16"/>
          <w:szCs w:val="16"/>
        </w:rPr>
        <w:footnoteRef/>
      </w:r>
      <w:r w:rsidRPr="00915E65">
        <w:rPr>
          <w:rFonts w:ascii="Gothic720 BT" w:hAnsi="Gothic720 BT"/>
          <w:sz w:val="16"/>
          <w:szCs w:val="16"/>
        </w:rPr>
        <w:t xml:space="preserve"> En adelante Constitución Federal.</w:t>
      </w:r>
    </w:p>
  </w:footnote>
  <w:footnote w:id="3">
    <w:p w14:paraId="02EA76D3" w14:textId="77777777" w:rsidR="00553EA1" w:rsidRDefault="00553EA1" w:rsidP="00553EA1">
      <w:pPr>
        <w:pStyle w:val="Textonotapie"/>
      </w:pPr>
      <w:r w:rsidRPr="00915E65">
        <w:rPr>
          <w:rStyle w:val="Refdenotaalpie"/>
          <w:rFonts w:ascii="Gothic720 BT" w:hAnsi="Gothic720 BT"/>
          <w:sz w:val="16"/>
          <w:szCs w:val="16"/>
        </w:rPr>
        <w:footnoteRef/>
      </w:r>
      <w:r w:rsidRPr="00915E65">
        <w:rPr>
          <w:rFonts w:ascii="Gothic720 BT" w:hAnsi="Gothic720 BT"/>
          <w:sz w:val="16"/>
          <w:szCs w:val="16"/>
        </w:rPr>
        <w:t xml:space="preserve"> En adelante Ley Electoral.</w:t>
      </w:r>
    </w:p>
  </w:footnote>
  <w:footnote w:id="4">
    <w:p w14:paraId="456D0575" w14:textId="77777777" w:rsidR="00C119C4" w:rsidRPr="003C5AE2" w:rsidRDefault="00C119C4" w:rsidP="00C119C4">
      <w:pPr>
        <w:pStyle w:val="Textonotapie"/>
        <w:rPr>
          <w:rFonts w:ascii="Gothic720 BT" w:hAnsi="Gothic720 BT"/>
          <w:sz w:val="16"/>
          <w:szCs w:val="16"/>
        </w:rPr>
      </w:pPr>
      <w:r w:rsidRPr="00FD17FC">
        <w:rPr>
          <w:rStyle w:val="Refdenotaalpie"/>
          <w:rFonts w:ascii="Gothic720 BT" w:hAnsi="Gothic720 BT"/>
          <w:sz w:val="16"/>
          <w:szCs w:val="16"/>
        </w:rPr>
        <w:footnoteRef/>
      </w:r>
      <w:r w:rsidRPr="00FD17FC">
        <w:rPr>
          <w:rFonts w:ascii="Gothic720 BT" w:hAnsi="Gothic720 BT"/>
          <w:sz w:val="16"/>
          <w:szCs w:val="16"/>
        </w:rPr>
        <w:t xml:space="preserve"> </w:t>
      </w:r>
      <w:r w:rsidRPr="003C5AE2">
        <w:rPr>
          <w:rFonts w:ascii="Gothic720 BT" w:hAnsi="Gothic720 BT"/>
          <w:sz w:val="16"/>
          <w:szCs w:val="16"/>
        </w:rPr>
        <w:t>En adelante Reglamento de Fiscalización.</w:t>
      </w:r>
    </w:p>
  </w:footnote>
  <w:footnote w:id="5">
    <w:p w14:paraId="02772350" w14:textId="77777777" w:rsidR="00C119C4" w:rsidRDefault="00C119C4" w:rsidP="00C119C4">
      <w:pPr>
        <w:pStyle w:val="Textonotapie"/>
      </w:pPr>
      <w:r w:rsidRPr="003C5AE2">
        <w:rPr>
          <w:rStyle w:val="Refdenotaalpie"/>
          <w:rFonts w:ascii="Gothic720 BT" w:hAnsi="Gothic720 BT"/>
          <w:sz w:val="16"/>
          <w:szCs w:val="16"/>
        </w:rPr>
        <w:footnoteRef/>
      </w:r>
      <w:r w:rsidRPr="003C5AE2">
        <w:rPr>
          <w:rFonts w:ascii="Gothic720 BT" w:hAnsi="Gothic720 BT"/>
          <w:sz w:val="16"/>
          <w:szCs w:val="16"/>
        </w:rPr>
        <w:t xml:space="preserve"> En adelante Ley General.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A1"/>
    <w:rsid w:val="00026421"/>
    <w:rsid w:val="000C71E3"/>
    <w:rsid w:val="00176109"/>
    <w:rsid w:val="00235E02"/>
    <w:rsid w:val="00380C82"/>
    <w:rsid w:val="00521618"/>
    <w:rsid w:val="00553EA1"/>
    <w:rsid w:val="005D1CE7"/>
    <w:rsid w:val="005F7158"/>
    <w:rsid w:val="0065730B"/>
    <w:rsid w:val="007621B0"/>
    <w:rsid w:val="007F0603"/>
    <w:rsid w:val="0091439C"/>
    <w:rsid w:val="00937C65"/>
    <w:rsid w:val="00A00796"/>
    <w:rsid w:val="00A7761E"/>
    <w:rsid w:val="00B73ADD"/>
    <w:rsid w:val="00C04F14"/>
    <w:rsid w:val="00C119C4"/>
    <w:rsid w:val="00C35110"/>
    <w:rsid w:val="00CE626C"/>
    <w:rsid w:val="00D26C56"/>
    <w:rsid w:val="00E475C7"/>
    <w:rsid w:val="00E77A3C"/>
    <w:rsid w:val="00EE1079"/>
    <w:rsid w:val="00E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B225"/>
  <w15:chartTrackingRefBased/>
  <w15:docId w15:val="{9EF7F477-86AF-4BAB-A43A-EA1759C0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A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EA1"/>
    <w:pPr>
      <w:ind w:left="720"/>
      <w:contextualSpacing/>
    </w:pPr>
  </w:style>
  <w:style w:type="paragraph" w:customStyle="1" w:styleId="Default">
    <w:name w:val="Default"/>
    <w:rsid w:val="00553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53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3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3EA1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553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IEEQ .</dc:creator>
  <cp:keywords/>
  <dc:description/>
  <cp:lastModifiedBy>IEEQ .</cp:lastModifiedBy>
  <cp:revision>6</cp:revision>
  <cp:lastPrinted>2021-02-04T20:32:00Z</cp:lastPrinted>
  <dcterms:created xsi:type="dcterms:W3CDTF">2021-02-03T18:54:00Z</dcterms:created>
  <dcterms:modified xsi:type="dcterms:W3CDTF">2021-02-06T16:07:00Z</dcterms:modified>
</cp:coreProperties>
</file>