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62" w:rsidRPr="00F95888" w:rsidRDefault="00FE3C62" w:rsidP="00FE3C62">
      <w:pPr>
        <w:ind w:left="567"/>
        <w:jc w:val="center"/>
        <w:rPr>
          <w:rFonts w:ascii="Gothic720 BT" w:hAnsi="Gothic720 BT" w:cs="Arial"/>
          <w:b/>
          <w:sz w:val="16"/>
          <w:szCs w:val="16"/>
        </w:rPr>
      </w:pPr>
      <w:r w:rsidRPr="00F95888">
        <w:rPr>
          <w:rFonts w:ascii="Gothic720 BT" w:hAnsi="Gothic720 BT" w:cs="Arial"/>
          <w:b/>
          <w:sz w:val="16"/>
          <w:szCs w:val="16"/>
        </w:rPr>
        <w:t>LINEAMIENTOS PARA LA PRESTACIÓN DE LOS SERVICIOS DE LA BIBLIOTECA DEL INSTITUTO ELECTORAL DEL ESTADO DE QUERÉTARO</w:t>
      </w: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CAPÍTULO I</w:t>
      </w: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 xml:space="preserve"> Disposiciones generales</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cs="Arial"/>
          <w:b/>
          <w:sz w:val="16"/>
          <w:szCs w:val="16"/>
        </w:rPr>
        <w:t xml:space="preserve">Artículo 1. </w:t>
      </w:r>
      <w:r w:rsidRPr="00F95888">
        <w:rPr>
          <w:rFonts w:ascii="Gothic720 BT" w:hAnsi="Gothic720 BT" w:cs="Arial"/>
          <w:sz w:val="16"/>
          <w:szCs w:val="16"/>
        </w:rPr>
        <w:t>Estos</w:t>
      </w:r>
      <w:r w:rsidRPr="00F95888">
        <w:rPr>
          <w:rFonts w:ascii="Gothic720 BT" w:hAnsi="Gothic720 BT" w:cs="Arial"/>
          <w:b/>
          <w:sz w:val="16"/>
          <w:szCs w:val="16"/>
        </w:rPr>
        <w:t xml:space="preserve"> </w:t>
      </w:r>
      <w:r w:rsidRPr="00F95888">
        <w:rPr>
          <w:rFonts w:ascii="Gothic720 BT" w:hAnsi="Gothic720 BT"/>
          <w:sz w:val="16"/>
          <w:szCs w:val="16"/>
        </w:rPr>
        <w:t>Lineamientos tienen como finalidad regular el funcionamiento y operación de la biblioteca del Instituto Electoral del Estado de Querétaro, además de los derechos y obligacio</w:t>
      </w:r>
      <w:bookmarkStart w:id="0" w:name="_GoBack"/>
      <w:bookmarkEnd w:id="0"/>
      <w:r w:rsidRPr="00F95888">
        <w:rPr>
          <w:rFonts w:ascii="Gothic720 BT" w:hAnsi="Gothic720 BT"/>
          <w:sz w:val="16"/>
          <w:szCs w:val="16"/>
        </w:rPr>
        <w:t>nes de quienes realicen el uso del servicio de consulta del acervo bibliográfico.</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ind w:left="567"/>
        <w:jc w:val="both"/>
        <w:rPr>
          <w:rFonts w:ascii="Gothic720 BT" w:hAnsi="Gothic720 BT" w:cs="Arial"/>
          <w:sz w:val="16"/>
          <w:szCs w:val="16"/>
        </w:rPr>
      </w:pPr>
      <w:r w:rsidRPr="00F95888">
        <w:rPr>
          <w:rFonts w:ascii="Gothic720 BT" w:hAnsi="Gothic720 BT" w:cs="Arial"/>
          <w:b/>
          <w:sz w:val="16"/>
          <w:szCs w:val="16"/>
        </w:rPr>
        <w:t xml:space="preserve">Artículo 2. </w:t>
      </w:r>
      <w:r w:rsidRPr="00F95888">
        <w:rPr>
          <w:rFonts w:ascii="Gothic720 BT" w:hAnsi="Gothic720 BT" w:cs="Arial"/>
          <w:sz w:val="16"/>
          <w:szCs w:val="16"/>
        </w:rPr>
        <w:t>Para efectos de los Lineamientos se entiende por:</w:t>
      </w:r>
    </w:p>
    <w:p w:rsidR="00FE3C62" w:rsidRPr="00F95888" w:rsidRDefault="00FE3C62" w:rsidP="00FE3C62">
      <w:pPr>
        <w:pStyle w:val="Prrafodelista"/>
        <w:numPr>
          <w:ilvl w:val="0"/>
          <w:numId w:val="2"/>
        </w:numPr>
        <w:spacing w:after="0" w:line="240" w:lineRule="auto"/>
        <w:ind w:left="851" w:hanging="142"/>
        <w:jc w:val="both"/>
        <w:rPr>
          <w:rFonts w:ascii="Gothic720 BT" w:hAnsi="Gothic720 BT" w:cs="Arial"/>
          <w:sz w:val="16"/>
          <w:szCs w:val="16"/>
        </w:rPr>
      </w:pPr>
      <w:r w:rsidRPr="00F95888">
        <w:rPr>
          <w:rFonts w:ascii="Gothic720 BT" w:hAnsi="Gothic720 BT" w:cs="Arial"/>
          <w:sz w:val="16"/>
          <w:szCs w:val="16"/>
        </w:rPr>
        <w:t>Acervo: Material bibliográfico con que cuenta la biblioteca.</w:t>
      </w:r>
    </w:p>
    <w:p w:rsidR="00FE3C62" w:rsidRPr="00F95888" w:rsidRDefault="00FE3C62" w:rsidP="00FE3C62">
      <w:pPr>
        <w:pStyle w:val="Prrafodelista"/>
        <w:numPr>
          <w:ilvl w:val="0"/>
          <w:numId w:val="2"/>
        </w:numPr>
        <w:spacing w:after="0" w:line="240" w:lineRule="auto"/>
        <w:ind w:left="851" w:hanging="142"/>
        <w:jc w:val="both"/>
        <w:rPr>
          <w:rFonts w:ascii="Gothic720 BT" w:hAnsi="Gothic720 BT" w:cs="Arial"/>
          <w:sz w:val="16"/>
          <w:szCs w:val="16"/>
        </w:rPr>
      </w:pPr>
      <w:r w:rsidRPr="00F95888">
        <w:rPr>
          <w:rFonts w:ascii="Gothic720 BT" w:hAnsi="Gothic720 BT" w:cs="Arial"/>
          <w:sz w:val="16"/>
          <w:szCs w:val="16"/>
        </w:rPr>
        <w:t>Dirección: Dirección Ejecutiva de Educación Cívica y Participación Ciudadana.</w:t>
      </w:r>
    </w:p>
    <w:p w:rsidR="00FE3C62" w:rsidRPr="00F95888" w:rsidRDefault="00FE3C62" w:rsidP="00FE3C62">
      <w:pPr>
        <w:pStyle w:val="Prrafodelista"/>
        <w:numPr>
          <w:ilvl w:val="0"/>
          <w:numId w:val="2"/>
        </w:numPr>
        <w:spacing w:after="0" w:line="240" w:lineRule="auto"/>
        <w:ind w:left="851" w:hanging="142"/>
        <w:jc w:val="both"/>
        <w:rPr>
          <w:rFonts w:ascii="Gothic720 BT" w:hAnsi="Gothic720 BT" w:cs="Arial"/>
          <w:sz w:val="16"/>
          <w:szCs w:val="16"/>
        </w:rPr>
      </w:pPr>
      <w:r w:rsidRPr="00F95888">
        <w:rPr>
          <w:rFonts w:ascii="Gothic720 BT" w:hAnsi="Gothic720 BT" w:cs="Arial"/>
          <w:sz w:val="16"/>
          <w:szCs w:val="16"/>
        </w:rPr>
        <w:t>Instituto: Instituto Electoral del Estado de Querétaro.</w:t>
      </w:r>
    </w:p>
    <w:p w:rsidR="00FE3C62" w:rsidRPr="00F95888" w:rsidRDefault="00FE3C62" w:rsidP="00FE3C62">
      <w:pPr>
        <w:pStyle w:val="Prrafodelista"/>
        <w:numPr>
          <w:ilvl w:val="0"/>
          <w:numId w:val="2"/>
        </w:numPr>
        <w:spacing w:after="0" w:line="240" w:lineRule="auto"/>
        <w:ind w:left="851" w:hanging="142"/>
        <w:jc w:val="both"/>
        <w:rPr>
          <w:rFonts w:ascii="Gothic720 BT" w:hAnsi="Gothic720 BT" w:cs="Arial"/>
          <w:sz w:val="16"/>
          <w:szCs w:val="16"/>
        </w:rPr>
      </w:pPr>
      <w:r w:rsidRPr="00F95888">
        <w:rPr>
          <w:rFonts w:ascii="Gothic720 BT" w:hAnsi="Gothic720 BT" w:cs="Arial"/>
          <w:sz w:val="16"/>
          <w:szCs w:val="16"/>
        </w:rPr>
        <w:t>Lineamientos: Lineamientos para la prestación de los servicios de la biblioteca del Instituto Electoral del Estado de Querétaro.</w:t>
      </w:r>
    </w:p>
    <w:p w:rsidR="00FE3C62" w:rsidRPr="00F95888" w:rsidRDefault="00FE3C62" w:rsidP="00FE3C62">
      <w:pPr>
        <w:pStyle w:val="Prrafodelista"/>
        <w:numPr>
          <w:ilvl w:val="0"/>
          <w:numId w:val="2"/>
        </w:numPr>
        <w:spacing w:after="0" w:line="240" w:lineRule="auto"/>
        <w:ind w:left="851" w:hanging="142"/>
        <w:jc w:val="both"/>
        <w:rPr>
          <w:rFonts w:ascii="Gothic720 BT" w:hAnsi="Gothic720 BT" w:cs="Arial"/>
          <w:sz w:val="16"/>
          <w:szCs w:val="16"/>
        </w:rPr>
      </w:pPr>
      <w:r w:rsidRPr="00F95888">
        <w:rPr>
          <w:rFonts w:ascii="Gothic720 BT" w:hAnsi="Gothic720 BT" w:cs="Arial"/>
          <w:sz w:val="16"/>
          <w:szCs w:val="16"/>
        </w:rPr>
        <w:t>Persona solicitante: Quien solicita los servicios de consulta y préstamo del acervo de la  biblioteca.</w:t>
      </w:r>
    </w:p>
    <w:p w:rsidR="00FE3C62" w:rsidRPr="00F95888" w:rsidRDefault="00FE3C62" w:rsidP="00FE3C62">
      <w:pPr>
        <w:spacing w:after="0" w:line="240" w:lineRule="auto"/>
        <w:ind w:left="851"/>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cs="Arial"/>
          <w:b/>
          <w:sz w:val="16"/>
          <w:szCs w:val="16"/>
        </w:rPr>
        <w:t xml:space="preserve">Artículo 3. </w:t>
      </w:r>
      <w:r w:rsidRPr="00F95888">
        <w:rPr>
          <w:rFonts w:ascii="Gothic720 BT" w:hAnsi="Gothic720 BT" w:cs="Arial"/>
          <w:sz w:val="16"/>
          <w:szCs w:val="16"/>
        </w:rPr>
        <w:t>La Dirección es el área encargada de seleccionar, actualizar, registrar y</w:t>
      </w:r>
      <w:r w:rsidRPr="00F95888">
        <w:rPr>
          <w:rFonts w:ascii="Gothic720 BT" w:hAnsi="Gothic720 BT"/>
          <w:sz w:val="16"/>
          <w:szCs w:val="16"/>
        </w:rPr>
        <w:t xml:space="preserve"> almacenar información especializada en política electoral, así como establecer relaciones de intercambio documental y de servicios con otras instituciones.</w:t>
      </w:r>
    </w:p>
    <w:p w:rsidR="00FE3C62" w:rsidRPr="00F95888" w:rsidRDefault="00FE3C62" w:rsidP="00FE3C62">
      <w:pPr>
        <w:pStyle w:val="Sinespaciado"/>
        <w:ind w:left="567"/>
        <w:jc w:val="both"/>
        <w:rPr>
          <w:rFonts w:ascii="Gothic720 BT" w:hAnsi="Gothic720 BT"/>
          <w:sz w:val="16"/>
          <w:szCs w:val="16"/>
        </w:rPr>
      </w:pPr>
    </w:p>
    <w:p w:rsidR="00FE3C62" w:rsidRDefault="00FE3C62" w:rsidP="00FE3C62">
      <w:pPr>
        <w:pStyle w:val="Sinespaciado"/>
        <w:ind w:left="567"/>
        <w:jc w:val="both"/>
        <w:rPr>
          <w:rFonts w:ascii="Gothic720 BT" w:hAnsi="Gothic720 BT" w:cs="Arial"/>
          <w:sz w:val="16"/>
          <w:szCs w:val="16"/>
        </w:rPr>
      </w:pPr>
      <w:r w:rsidRPr="00F95888">
        <w:rPr>
          <w:rFonts w:ascii="Gothic720 BT" w:hAnsi="Gothic720 BT" w:cs="Arial"/>
          <w:sz w:val="16"/>
          <w:szCs w:val="16"/>
        </w:rPr>
        <w:t>Es objetivo del Instituto contar con una biblioteca que ofrezca  a quienes  lo soliciten, información especializada que apoye la difusión de la cultura político democrática.</w:t>
      </w:r>
    </w:p>
    <w:p w:rsidR="00FE3C62" w:rsidRDefault="00FE3C62" w:rsidP="00FE3C62">
      <w:pPr>
        <w:pStyle w:val="Sinespaciado"/>
        <w:ind w:left="567"/>
        <w:jc w:val="both"/>
        <w:rPr>
          <w:rFonts w:ascii="Gothic720 BT" w:hAnsi="Gothic720 BT" w:cs="Arial"/>
          <w:sz w:val="16"/>
          <w:szCs w:val="16"/>
        </w:rPr>
      </w:pP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spacing w:after="0" w:line="240" w:lineRule="auto"/>
        <w:ind w:left="567"/>
        <w:jc w:val="center"/>
        <w:rPr>
          <w:rFonts w:ascii="Gothic720 BT" w:hAnsi="Gothic720 BT" w:cs="Arial"/>
          <w:b/>
          <w:sz w:val="16"/>
          <w:szCs w:val="16"/>
        </w:rPr>
      </w:pP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CAPÍTULO II</w:t>
      </w: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 xml:space="preserve">Del área responsable de la biblioteca </w:t>
      </w:r>
    </w:p>
    <w:p w:rsidR="00FE3C62" w:rsidRPr="00F95888" w:rsidRDefault="00FE3C62" w:rsidP="00FE3C62">
      <w:pPr>
        <w:spacing w:after="0" w:line="240" w:lineRule="auto"/>
        <w:ind w:left="567"/>
        <w:jc w:val="center"/>
        <w:rPr>
          <w:rFonts w:ascii="Gothic720 BT" w:hAnsi="Gothic720 BT" w:cs="Arial"/>
          <w:b/>
          <w:sz w:val="16"/>
          <w:szCs w:val="16"/>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sz w:val="16"/>
          <w:szCs w:val="16"/>
        </w:rPr>
        <w:t>Artículo 4.</w:t>
      </w:r>
      <w:r w:rsidRPr="00F95888">
        <w:rPr>
          <w:b/>
          <w:sz w:val="16"/>
          <w:szCs w:val="16"/>
        </w:rPr>
        <w:t xml:space="preserve"> </w:t>
      </w:r>
      <w:r w:rsidRPr="00F95888">
        <w:rPr>
          <w:rFonts w:ascii="Gothic720 BT" w:hAnsi="Gothic720 BT"/>
          <w:sz w:val="16"/>
          <w:szCs w:val="16"/>
        </w:rPr>
        <w:t>Corresponden a la</w:t>
      </w:r>
      <w:r w:rsidRPr="00F95888">
        <w:rPr>
          <w:rFonts w:ascii="Gothic720 BT" w:hAnsi="Gothic720 BT"/>
          <w:b/>
          <w:sz w:val="16"/>
          <w:szCs w:val="16"/>
        </w:rPr>
        <w:t xml:space="preserve"> </w:t>
      </w:r>
      <w:r w:rsidRPr="00F95888">
        <w:rPr>
          <w:rFonts w:ascii="Gothic720 BT" w:hAnsi="Gothic720 BT"/>
          <w:sz w:val="16"/>
          <w:szCs w:val="16"/>
        </w:rPr>
        <w:t>Dirección, como área encargada de la biblioteca, las siguientes atribuciones:</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Seleccionar el material para que  se integre a las distintas colecciones;</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Elaborar las políticas de selección y adquisición de los materiales que ingresarán al acervo de la biblioteca;</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Aprobar los materiales y servicios que se adquirirán y contraten para actualizar el acervo documental;</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Promover el servicio de canje con instituciones educativas y de investigación;</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Evaluar periódicamente las colecciones y emitir sus recomendaciones;</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Supervisar el inventario de los acervos;</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Evaluar la suscripción y renovación de publicaciones periódicas; y</w:t>
      </w:r>
    </w:p>
    <w:p w:rsidR="00FE3C62" w:rsidRPr="00F95888" w:rsidRDefault="00FE3C62" w:rsidP="00FE3C62">
      <w:pPr>
        <w:pStyle w:val="Sinespaciado"/>
        <w:numPr>
          <w:ilvl w:val="0"/>
          <w:numId w:val="4"/>
        </w:numPr>
        <w:ind w:left="993" w:hanging="142"/>
        <w:jc w:val="both"/>
        <w:rPr>
          <w:rFonts w:ascii="Gothic720 BT" w:hAnsi="Gothic720 BT"/>
          <w:sz w:val="16"/>
          <w:szCs w:val="16"/>
        </w:rPr>
      </w:pPr>
      <w:r w:rsidRPr="00F95888">
        <w:rPr>
          <w:rFonts w:ascii="Gothic720 BT" w:hAnsi="Gothic720 BT"/>
          <w:sz w:val="16"/>
          <w:szCs w:val="16"/>
        </w:rPr>
        <w:t>Las demás que se requieran.</w:t>
      </w:r>
    </w:p>
    <w:p w:rsidR="00FE3C62" w:rsidRPr="00F95888" w:rsidRDefault="00FE3C62" w:rsidP="00FE3C62">
      <w:pPr>
        <w:spacing w:after="0" w:line="240" w:lineRule="auto"/>
        <w:ind w:left="993"/>
        <w:jc w:val="both"/>
        <w:rPr>
          <w:rFonts w:ascii="Gothic720 BT" w:hAnsi="Gothic720 BT" w:cs="Arial"/>
          <w:sz w:val="16"/>
          <w:szCs w:val="16"/>
        </w:rPr>
      </w:pPr>
    </w:p>
    <w:p w:rsidR="00FE3C62" w:rsidRDefault="00FE3C62" w:rsidP="00FE3C62">
      <w:pPr>
        <w:spacing w:after="0" w:line="240" w:lineRule="auto"/>
        <w:ind w:left="567"/>
        <w:jc w:val="center"/>
        <w:rPr>
          <w:rFonts w:ascii="Gothic720 BT" w:hAnsi="Gothic720 BT" w:cs="Arial"/>
          <w:b/>
          <w:sz w:val="16"/>
          <w:szCs w:val="16"/>
        </w:rPr>
      </w:pPr>
    </w:p>
    <w:p w:rsidR="00FE3C62" w:rsidRDefault="00FE3C62" w:rsidP="00FE3C62">
      <w:pPr>
        <w:spacing w:after="0" w:line="240" w:lineRule="auto"/>
        <w:ind w:left="567"/>
        <w:jc w:val="center"/>
        <w:rPr>
          <w:rFonts w:ascii="Gothic720 BT" w:hAnsi="Gothic720 BT" w:cs="Arial"/>
          <w:b/>
          <w:sz w:val="16"/>
          <w:szCs w:val="16"/>
        </w:rPr>
      </w:pP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CAPÍTULO III</w:t>
      </w: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 xml:space="preserve"> Del acervo bibliográfico</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both"/>
        <w:rPr>
          <w:rFonts w:ascii="Gothic720 BT" w:hAnsi="Gothic720 BT" w:cs="Arial"/>
          <w:sz w:val="16"/>
          <w:szCs w:val="16"/>
        </w:rPr>
      </w:pPr>
      <w:r w:rsidRPr="00F95888">
        <w:rPr>
          <w:rFonts w:ascii="Gothic720 BT" w:hAnsi="Gothic720 BT" w:cs="Arial"/>
          <w:b/>
          <w:sz w:val="16"/>
          <w:szCs w:val="16"/>
        </w:rPr>
        <w:t>Artículo 5.-</w:t>
      </w:r>
      <w:r w:rsidRPr="00F95888">
        <w:rPr>
          <w:rFonts w:ascii="Gothic720 BT" w:hAnsi="Gothic720 BT" w:cs="Arial"/>
          <w:sz w:val="16"/>
          <w:szCs w:val="16"/>
        </w:rPr>
        <w:t xml:space="preserve"> El acervo con que cuenta la biblioteca, estará integrado por las siguientes temáticas:</w:t>
      </w:r>
    </w:p>
    <w:p w:rsidR="00FE3C62" w:rsidRPr="00F95888" w:rsidRDefault="00FE3C62" w:rsidP="00FE3C62">
      <w:pPr>
        <w:spacing w:after="0" w:line="240" w:lineRule="auto"/>
        <w:ind w:left="567"/>
        <w:jc w:val="both"/>
        <w:rPr>
          <w:rFonts w:ascii="Gothic720 BT" w:hAnsi="Gothic720 BT" w:cs="Arial"/>
          <w:sz w:val="16"/>
          <w:szCs w:val="16"/>
        </w:rPr>
      </w:pP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Derecho en general: En ella se encuentran los libros de diferentes áreas del   derecho.</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Derecho Electoral: Obras que analizan particularidades de la vida democrática a nivel federal y local.</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Diccionarios: Ejemplares para consulta de conceptos generales y electorales.</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Estadísticas: Informes anuales del Instituto y de diversos organismos públicos electorales, así como información cuantitativa de procesos electorales y de participación ciudadana.</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 xml:space="preserve">Educación Cívica: Publicaciones sobre temas relativos a los valores democráticos y la participación de la ciudadanía. </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 xml:space="preserve">Leyes y códigos: Legislación en materia electoral y de diversas materias. </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Revistas: Publicaciones periódicas que cuentan con un título distintivo, tienen un periodo determinado de publicación.</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Teoría Política: Acervo cuyo contenido concentra el análisis de temas político-electorales en el ámbito local, nacional e internacional. Incluye publicaciones editadas o coeditadas por el Instituto.</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Tesis e Investigaciones: Trabajos académicos realizadas sobre temas diversos, principalmente en materia político-electoral.</w:t>
      </w:r>
    </w:p>
    <w:p w:rsidR="00FE3C62" w:rsidRPr="00F95888" w:rsidRDefault="00FE3C62" w:rsidP="00FE3C62">
      <w:pPr>
        <w:pStyle w:val="Prrafodelista"/>
        <w:numPr>
          <w:ilvl w:val="0"/>
          <w:numId w:val="1"/>
        </w:numPr>
        <w:spacing w:after="0" w:line="240" w:lineRule="auto"/>
        <w:ind w:left="993" w:hanging="142"/>
        <w:jc w:val="both"/>
        <w:rPr>
          <w:rFonts w:ascii="Gothic720 BT" w:hAnsi="Gothic720 BT" w:cs="Arial"/>
          <w:sz w:val="16"/>
          <w:szCs w:val="16"/>
        </w:rPr>
      </w:pPr>
      <w:r w:rsidRPr="00F95888">
        <w:rPr>
          <w:rFonts w:ascii="Gothic720 BT" w:hAnsi="Gothic720 BT" w:cs="Arial"/>
          <w:sz w:val="16"/>
          <w:szCs w:val="16"/>
        </w:rPr>
        <w:t>Otros: Inventario, material audiovisual, cartografía, manuales, folletos, etcétera.</w:t>
      </w:r>
    </w:p>
    <w:p w:rsidR="00FE3C62" w:rsidRPr="00F95888" w:rsidRDefault="00FE3C62" w:rsidP="00FE3C62">
      <w:pPr>
        <w:spacing w:after="0" w:line="240" w:lineRule="auto"/>
        <w:ind w:left="993"/>
        <w:jc w:val="center"/>
        <w:rPr>
          <w:rFonts w:ascii="Gothic720 BT" w:hAnsi="Gothic720 BT" w:cs="Arial"/>
          <w:b/>
          <w:sz w:val="16"/>
          <w:szCs w:val="16"/>
        </w:rPr>
      </w:pP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CAPÍTULO IV</w:t>
      </w: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De los servicios</w:t>
      </w:r>
    </w:p>
    <w:p w:rsidR="00FE3C62" w:rsidRPr="00F95888" w:rsidRDefault="00FE3C62" w:rsidP="00FE3C62">
      <w:pPr>
        <w:spacing w:after="0" w:line="240" w:lineRule="auto"/>
        <w:ind w:left="567"/>
        <w:jc w:val="center"/>
        <w:rPr>
          <w:rFonts w:ascii="Gothic720 BT" w:hAnsi="Gothic720 BT" w:cs="Arial"/>
          <w:b/>
          <w:sz w:val="16"/>
          <w:szCs w:val="16"/>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sz w:val="16"/>
          <w:szCs w:val="16"/>
        </w:rPr>
        <w:t>Artículo 6.</w:t>
      </w:r>
      <w:r w:rsidRPr="00F95888">
        <w:rPr>
          <w:b/>
          <w:sz w:val="16"/>
          <w:szCs w:val="16"/>
        </w:rPr>
        <w:t xml:space="preserve"> </w:t>
      </w:r>
      <w:r w:rsidRPr="00F95888">
        <w:rPr>
          <w:rFonts w:ascii="Gothic720 BT" w:hAnsi="Gothic720 BT"/>
          <w:sz w:val="16"/>
          <w:szCs w:val="16"/>
        </w:rPr>
        <w:t>El tipo de estantería con que cuenta la biblioteca es cerrada, por lo que quien requiera del préstamo de algún ejemplar deberá solicitarlo a la Dirección.</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sz w:val="16"/>
          <w:szCs w:val="16"/>
        </w:rPr>
        <w:t>Artículo 7.</w:t>
      </w:r>
      <w:r w:rsidRPr="00F95888">
        <w:rPr>
          <w:b/>
          <w:sz w:val="16"/>
          <w:szCs w:val="16"/>
        </w:rPr>
        <w:t xml:space="preserve"> </w:t>
      </w:r>
      <w:r w:rsidRPr="00F95888">
        <w:rPr>
          <w:rFonts w:ascii="Gothic720 BT" w:hAnsi="Gothic720 BT"/>
          <w:sz w:val="16"/>
          <w:szCs w:val="16"/>
        </w:rPr>
        <w:t>Tendrá acceso al servicio de la biblioteca toda persona que desee consultar material bibliográfico, debiendo identificarse con documento oficial y registrarse en el libro correspondiente y recibirá el apoyo e información necesarios que le facilite el acceso a los materiales. El servicio de préstamo en sala de lectura estará sujeto a disponibilidad de espacio.</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ind w:left="567"/>
        <w:jc w:val="both"/>
        <w:rPr>
          <w:rFonts w:ascii="Gothic720 BT" w:hAnsi="Gothic720 BT" w:cs="Arial"/>
          <w:sz w:val="16"/>
          <w:szCs w:val="16"/>
        </w:rPr>
      </w:pPr>
      <w:r w:rsidRPr="00F95888">
        <w:rPr>
          <w:rFonts w:ascii="Gothic720 BT" w:hAnsi="Gothic720 BT" w:cs="Arial"/>
          <w:b/>
          <w:sz w:val="16"/>
          <w:szCs w:val="16"/>
        </w:rPr>
        <w:t xml:space="preserve">Artículo 8. </w:t>
      </w:r>
      <w:r w:rsidRPr="00F95888">
        <w:rPr>
          <w:rFonts w:ascii="Gothic720 BT" w:hAnsi="Gothic720 BT" w:cs="Arial"/>
          <w:sz w:val="16"/>
          <w:szCs w:val="16"/>
        </w:rPr>
        <w:t>Quienes realicen el uso de los servicios</w:t>
      </w:r>
      <w:r w:rsidRPr="00F95888">
        <w:rPr>
          <w:rFonts w:ascii="Gothic720 BT" w:hAnsi="Gothic720 BT" w:cs="Arial"/>
          <w:b/>
          <w:sz w:val="16"/>
          <w:szCs w:val="16"/>
        </w:rPr>
        <w:t xml:space="preserve"> </w:t>
      </w:r>
      <w:r w:rsidRPr="00F95888">
        <w:rPr>
          <w:rFonts w:ascii="Gothic720 BT" w:hAnsi="Gothic720 BT" w:cs="Arial"/>
          <w:sz w:val="16"/>
          <w:szCs w:val="16"/>
        </w:rPr>
        <w:t>de la biblioteca deberán observar lo siguiente:</w:t>
      </w:r>
    </w:p>
    <w:p w:rsidR="00FE3C62" w:rsidRPr="00F95888" w:rsidRDefault="00FE3C62" w:rsidP="00FE3C62">
      <w:pPr>
        <w:pStyle w:val="Prrafodelista"/>
        <w:numPr>
          <w:ilvl w:val="0"/>
          <w:numId w:val="3"/>
        </w:numPr>
        <w:ind w:left="993" w:hanging="142"/>
        <w:jc w:val="both"/>
        <w:rPr>
          <w:rFonts w:ascii="Gothic720 BT" w:hAnsi="Gothic720 BT" w:cs="Arial"/>
          <w:sz w:val="16"/>
          <w:szCs w:val="16"/>
        </w:rPr>
      </w:pPr>
      <w:r w:rsidRPr="00F95888">
        <w:rPr>
          <w:rFonts w:ascii="Gothic720 BT" w:hAnsi="Gothic720 BT" w:cs="Arial"/>
          <w:sz w:val="16"/>
          <w:szCs w:val="16"/>
        </w:rPr>
        <w:t>Dejar en custodia todo tipo de portafolios, mochilas, bolsas, o similar.</w:t>
      </w:r>
    </w:p>
    <w:p w:rsidR="00FE3C62" w:rsidRPr="00F95888" w:rsidRDefault="00FE3C62" w:rsidP="00FE3C62">
      <w:pPr>
        <w:pStyle w:val="Prrafodelista"/>
        <w:numPr>
          <w:ilvl w:val="0"/>
          <w:numId w:val="3"/>
        </w:numPr>
        <w:ind w:left="993" w:hanging="142"/>
        <w:jc w:val="both"/>
        <w:rPr>
          <w:rFonts w:ascii="Gothic720 BT" w:hAnsi="Gothic720 BT" w:cs="Arial"/>
          <w:sz w:val="16"/>
          <w:szCs w:val="16"/>
        </w:rPr>
      </w:pPr>
      <w:r w:rsidRPr="00F95888">
        <w:rPr>
          <w:rFonts w:ascii="Gothic720 BT" w:hAnsi="Gothic720 BT" w:cs="Arial"/>
          <w:sz w:val="16"/>
          <w:szCs w:val="16"/>
        </w:rPr>
        <w:t>Abstenerse de introducir alimentos y/o bebidas.</w:t>
      </w:r>
    </w:p>
    <w:p w:rsidR="00FE3C62" w:rsidRPr="00F95888" w:rsidRDefault="00FE3C62" w:rsidP="00FE3C62">
      <w:pPr>
        <w:pStyle w:val="Prrafodelista"/>
        <w:numPr>
          <w:ilvl w:val="0"/>
          <w:numId w:val="3"/>
        </w:numPr>
        <w:ind w:left="993" w:hanging="142"/>
        <w:jc w:val="both"/>
        <w:rPr>
          <w:rFonts w:ascii="Gothic720 BT" w:hAnsi="Gothic720 BT" w:cs="Arial"/>
          <w:sz w:val="16"/>
          <w:szCs w:val="16"/>
        </w:rPr>
      </w:pPr>
      <w:r w:rsidRPr="00F95888">
        <w:rPr>
          <w:rFonts w:ascii="Gothic720 BT" w:hAnsi="Gothic720 BT" w:cs="Arial"/>
          <w:sz w:val="16"/>
          <w:szCs w:val="16"/>
        </w:rPr>
        <w:t>Observar el horario de servicio.</w:t>
      </w:r>
    </w:p>
    <w:p w:rsidR="00FE3C62" w:rsidRPr="00F95888" w:rsidRDefault="00FE3C62" w:rsidP="00FE3C62">
      <w:pPr>
        <w:pStyle w:val="Prrafodelista"/>
        <w:numPr>
          <w:ilvl w:val="0"/>
          <w:numId w:val="3"/>
        </w:numPr>
        <w:ind w:left="993" w:hanging="142"/>
        <w:jc w:val="both"/>
        <w:rPr>
          <w:rFonts w:ascii="Gothic720 BT" w:hAnsi="Gothic720 BT" w:cs="Arial"/>
          <w:sz w:val="16"/>
          <w:szCs w:val="16"/>
        </w:rPr>
      </w:pPr>
      <w:r w:rsidRPr="00F95888">
        <w:rPr>
          <w:rFonts w:ascii="Gothic720 BT" w:hAnsi="Gothic720 BT" w:cs="Arial"/>
          <w:sz w:val="16"/>
          <w:szCs w:val="16"/>
        </w:rPr>
        <w:t>Guardar silencio.</w:t>
      </w:r>
    </w:p>
    <w:p w:rsidR="00FE3C62" w:rsidRPr="00F95888" w:rsidRDefault="00FE3C62" w:rsidP="00FE3C62">
      <w:pPr>
        <w:pStyle w:val="Prrafodelista"/>
        <w:numPr>
          <w:ilvl w:val="0"/>
          <w:numId w:val="3"/>
        </w:numPr>
        <w:ind w:left="993" w:hanging="142"/>
        <w:jc w:val="both"/>
        <w:rPr>
          <w:rFonts w:ascii="Gothic720 BT" w:hAnsi="Gothic720 BT" w:cs="Arial"/>
          <w:sz w:val="16"/>
          <w:szCs w:val="16"/>
        </w:rPr>
      </w:pPr>
      <w:r w:rsidRPr="00F95888">
        <w:rPr>
          <w:rFonts w:ascii="Gothic720 BT" w:hAnsi="Gothic720 BT" w:cs="Arial"/>
          <w:sz w:val="16"/>
          <w:szCs w:val="16"/>
        </w:rPr>
        <w:t>Abstenerse de hacer anotaciones en los libros, calcar, subrayar, mutilar sus hojas, substraer material bibliográfico o causar cualquier deterioro en los materiales.</w:t>
      </w:r>
    </w:p>
    <w:p w:rsidR="00FE3C62" w:rsidRPr="00F95888" w:rsidRDefault="00FE3C62" w:rsidP="00FE3C62">
      <w:pPr>
        <w:pStyle w:val="Prrafodelista"/>
        <w:numPr>
          <w:ilvl w:val="0"/>
          <w:numId w:val="3"/>
        </w:numPr>
        <w:ind w:left="993" w:hanging="142"/>
        <w:jc w:val="both"/>
        <w:rPr>
          <w:rFonts w:ascii="Gothic720 BT" w:hAnsi="Gothic720 BT" w:cs="Arial"/>
          <w:sz w:val="16"/>
          <w:szCs w:val="16"/>
        </w:rPr>
      </w:pPr>
      <w:r w:rsidRPr="00F95888">
        <w:rPr>
          <w:rFonts w:ascii="Gothic720 BT" w:hAnsi="Gothic720 BT" w:cs="Arial"/>
          <w:sz w:val="16"/>
          <w:szCs w:val="16"/>
        </w:rPr>
        <w:t>Cuidar el material que le sea prestado, así como el equipo y mobiliario.</w:t>
      </w: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sz w:val="16"/>
          <w:szCs w:val="16"/>
        </w:rPr>
        <w:t>Artículo 9.</w:t>
      </w:r>
      <w:r w:rsidRPr="00F95888">
        <w:rPr>
          <w:b/>
          <w:sz w:val="16"/>
          <w:szCs w:val="16"/>
        </w:rPr>
        <w:t xml:space="preserve"> </w:t>
      </w:r>
      <w:r w:rsidRPr="00F95888">
        <w:rPr>
          <w:rFonts w:ascii="Gothic720 BT" w:hAnsi="Gothic720 BT"/>
          <w:sz w:val="16"/>
          <w:szCs w:val="16"/>
        </w:rPr>
        <w:t>El personal del Instituto o las personas ajenas a él que realicen uso de los servicios de la biblioteca, al término de la consulta deberán entregar el material a la Dirección, quien se encargará de su colocación en el lugar que le corresponde en la estantería.</w:t>
      </w:r>
    </w:p>
    <w:p w:rsidR="00FE3C62" w:rsidRPr="00F95888" w:rsidRDefault="00FE3C62" w:rsidP="00FE3C62">
      <w:pPr>
        <w:pStyle w:val="Sinespaciado"/>
        <w:ind w:left="567"/>
        <w:jc w:val="both"/>
        <w:rPr>
          <w:sz w:val="16"/>
          <w:szCs w:val="16"/>
        </w:rPr>
      </w:pPr>
    </w:p>
    <w:p w:rsidR="00FE3C62" w:rsidRPr="00F95888" w:rsidRDefault="00FE3C62" w:rsidP="00FE3C62">
      <w:pPr>
        <w:spacing w:after="0" w:line="240" w:lineRule="auto"/>
        <w:ind w:left="567"/>
        <w:jc w:val="both"/>
        <w:rPr>
          <w:rFonts w:ascii="Gothic720 BT" w:hAnsi="Gothic720 BT" w:cs="Arial"/>
          <w:sz w:val="16"/>
          <w:szCs w:val="16"/>
        </w:rPr>
      </w:pPr>
      <w:r w:rsidRPr="00F95888">
        <w:rPr>
          <w:rFonts w:ascii="Gothic720 BT" w:hAnsi="Gothic720 BT" w:cs="Arial"/>
          <w:b/>
          <w:sz w:val="16"/>
          <w:szCs w:val="16"/>
        </w:rPr>
        <w:t xml:space="preserve">Artículo 10. </w:t>
      </w:r>
      <w:r w:rsidRPr="00F95888">
        <w:rPr>
          <w:rFonts w:ascii="Gothic720 BT" w:hAnsi="Gothic720 BT" w:cs="Arial"/>
          <w:sz w:val="16"/>
          <w:szCs w:val="16"/>
        </w:rPr>
        <w:t>El servicio de biblioteca será de lunes a viernes de 9:00 a 15:00 horas en días hábiles.</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cs="Arial"/>
          <w:b/>
          <w:sz w:val="16"/>
          <w:szCs w:val="16"/>
        </w:rPr>
        <w:t>Artículo 11.</w:t>
      </w:r>
      <w:r w:rsidRPr="00F95888">
        <w:rPr>
          <w:b/>
          <w:sz w:val="16"/>
          <w:szCs w:val="16"/>
        </w:rPr>
        <w:t xml:space="preserve"> </w:t>
      </w:r>
      <w:r w:rsidRPr="00F95888">
        <w:rPr>
          <w:rFonts w:ascii="Gothic720 BT" w:hAnsi="Gothic720 BT"/>
          <w:sz w:val="16"/>
          <w:szCs w:val="16"/>
        </w:rPr>
        <w:t>Los servicios que presta la biblioteca del Instituto son los siguientes:</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pStyle w:val="Sinespaciado"/>
        <w:numPr>
          <w:ilvl w:val="0"/>
          <w:numId w:val="5"/>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Consulta y orientación;</w:t>
      </w:r>
    </w:p>
    <w:p w:rsidR="00FE3C62" w:rsidRPr="00F95888" w:rsidRDefault="00FE3C62" w:rsidP="00FE3C62">
      <w:pPr>
        <w:pStyle w:val="Sinespaciado"/>
        <w:numPr>
          <w:ilvl w:val="0"/>
          <w:numId w:val="5"/>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Préstamo interno para su uso en sala de lectura, siempre que haya espacio disponible para ello;</w:t>
      </w:r>
    </w:p>
    <w:p w:rsidR="00FE3C62" w:rsidRPr="00F95888" w:rsidRDefault="00FE3C62" w:rsidP="00FE3C62">
      <w:pPr>
        <w:pStyle w:val="Sinespaciado"/>
        <w:numPr>
          <w:ilvl w:val="0"/>
          <w:numId w:val="5"/>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Préstamo externo;</w:t>
      </w:r>
    </w:p>
    <w:p w:rsidR="00FE3C62" w:rsidRPr="00F95888" w:rsidRDefault="00FE3C62" w:rsidP="00FE3C62">
      <w:pPr>
        <w:pStyle w:val="Sinespaciado"/>
        <w:numPr>
          <w:ilvl w:val="0"/>
          <w:numId w:val="5"/>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Préstamo ínter bibliotecario; y</w:t>
      </w:r>
    </w:p>
    <w:p w:rsidR="00FE3C62" w:rsidRPr="00F95888" w:rsidRDefault="00FE3C62" w:rsidP="00FE3C62">
      <w:pPr>
        <w:pStyle w:val="Sinespaciado"/>
        <w:numPr>
          <w:ilvl w:val="0"/>
          <w:numId w:val="5"/>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Divulgación de materiales.</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sz w:val="16"/>
          <w:szCs w:val="16"/>
        </w:rPr>
        <w:t>Artículo 12</w:t>
      </w:r>
      <w:r w:rsidRPr="00F95888">
        <w:rPr>
          <w:b/>
          <w:sz w:val="16"/>
          <w:szCs w:val="16"/>
        </w:rPr>
        <w:t xml:space="preserve">. </w:t>
      </w:r>
      <w:r w:rsidRPr="00F95888">
        <w:rPr>
          <w:sz w:val="16"/>
          <w:szCs w:val="16"/>
        </w:rPr>
        <w:t xml:space="preserve"> </w:t>
      </w:r>
      <w:r w:rsidRPr="00F95888">
        <w:rPr>
          <w:rFonts w:ascii="Gothic720 BT" w:hAnsi="Gothic720 BT"/>
          <w:sz w:val="16"/>
          <w:szCs w:val="16"/>
        </w:rPr>
        <w:t>El servicio de consulta y orientación consiste en:</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pStyle w:val="Sinespaciado"/>
        <w:numPr>
          <w:ilvl w:val="0"/>
          <w:numId w:val="6"/>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La búsqueda, provisión de información y documentos;</w:t>
      </w:r>
    </w:p>
    <w:p w:rsidR="00FE3C62" w:rsidRPr="00F95888" w:rsidRDefault="00FE3C62" w:rsidP="00FE3C62">
      <w:pPr>
        <w:pStyle w:val="Sinespaciado"/>
        <w:numPr>
          <w:ilvl w:val="0"/>
          <w:numId w:val="6"/>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La elaboración de bibliografías sobre temas de investigación;</w:t>
      </w:r>
    </w:p>
    <w:p w:rsidR="00FE3C62" w:rsidRPr="00F95888" w:rsidRDefault="00FE3C62" w:rsidP="00FE3C62">
      <w:pPr>
        <w:pStyle w:val="Sinespaciado"/>
        <w:numPr>
          <w:ilvl w:val="0"/>
          <w:numId w:val="6"/>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La orientación en el uso y recursos de la biblioteca; y</w:t>
      </w:r>
    </w:p>
    <w:p w:rsidR="00FE3C62" w:rsidRPr="00F95888" w:rsidRDefault="00FE3C62" w:rsidP="00FE3C62">
      <w:pPr>
        <w:pStyle w:val="Sinespaciado"/>
        <w:numPr>
          <w:ilvl w:val="0"/>
          <w:numId w:val="6"/>
        </w:numPr>
        <w:ind w:left="993" w:hanging="142"/>
        <w:jc w:val="both"/>
        <w:rPr>
          <w:rFonts w:ascii="Gothic720 BT" w:eastAsia="Times New Roman" w:hAnsi="Gothic720 BT"/>
          <w:sz w:val="16"/>
          <w:szCs w:val="16"/>
        </w:rPr>
      </w:pPr>
      <w:r w:rsidRPr="00F95888">
        <w:rPr>
          <w:rFonts w:ascii="Gothic720 BT" w:eastAsia="Times New Roman" w:hAnsi="Gothic720 BT"/>
          <w:sz w:val="16"/>
          <w:szCs w:val="16"/>
        </w:rPr>
        <w:t>La respuesta a preguntas concretas y la orientación hacia fuentes de información.</w:t>
      </w:r>
    </w:p>
    <w:p w:rsidR="00FE3C62" w:rsidRPr="00F95888" w:rsidRDefault="00FE3C62" w:rsidP="00FE3C62">
      <w:pPr>
        <w:pStyle w:val="Sinespaciado"/>
        <w:ind w:left="993"/>
        <w:jc w:val="both"/>
        <w:rPr>
          <w:rFonts w:ascii="Gothic720 BT" w:eastAsia="Times New Roman" w:hAnsi="Gothic720 BT"/>
          <w:sz w:val="16"/>
          <w:szCs w:val="16"/>
        </w:rPr>
      </w:pPr>
    </w:p>
    <w:p w:rsidR="00FE3C62" w:rsidRPr="00F95888" w:rsidRDefault="00FE3C62" w:rsidP="00FE3C62">
      <w:pPr>
        <w:pStyle w:val="Sinespaciado"/>
        <w:ind w:left="567"/>
        <w:jc w:val="both"/>
        <w:rPr>
          <w:b/>
          <w:sz w:val="16"/>
          <w:szCs w:val="16"/>
        </w:rPr>
      </w:pPr>
      <w:r w:rsidRPr="00F95888">
        <w:rPr>
          <w:rFonts w:ascii="Gothic720 BT" w:hAnsi="Gothic720 BT" w:cs="Arial"/>
          <w:b/>
          <w:sz w:val="16"/>
          <w:szCs w:val="16"/>
        </w:rPr>
        <w:t xml:space="preserve">Artículo </w:t>
      </w:r>
      <w:r w:rsidRPr="00F95888">
        <w:rPr>
          <w:rFonts w:ascii="Gothic720 BT" w:hAnsi="Gothic720 BT"/>
          <w:b/>
          <w:sz w:val="16"/>
          <w:szCs w:val="16"/>
        </w:rPr>
        <w:t>13.</w:t>
      </w:r>
      <w:r w:rsidRPr="00F95888">
        <w:rPr>
          <w:sz w:val="16"/>
          <w:szCs w:val="16"/>
        </w:rPr>
        <w:t xml:space="preserve"> </w:t>
      </w:r>
      <w:r w:rsidRPr="00F95888">
        <w:rPr>
          <w:rFonts w:ascii="Gothic720 BT" w:hAnsi="Gothic720 BT"/>
          <w:sz w:val="16"/>
          <w:szCs w:val="16"/>
        </w:rPr>
        <w:t>El préstamo de material bibliográfico podrá realizarse para su consulta en la sala de lectura, en caso de que haya disponibilidad de espacio, o en su caso, para de manera externa</w:t>
      </w:r>
      <w:r w:rsidRPr="00F95888">
        <w:rPr>
          <w:b/>
          <w:sz w:val="16"/>
          <w:szCs w:val="16"/>
        </w:rPr>
        <w:t>.</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sz w:val="16"/>
          <w:szCs w:val="16"/>
        </w:rPr>
        <w:t>Artículo 14.</w:t>
      </w:r>
      <w:r w:rsidRPr="00F95888">
        <w:rPr>
          <w:b/>
          <w:sz w:val="16"/>
          <w:szCs w:val="16"/>
        </w:rPr>
        <w:t xml:space="preserve"> </w:t>
      </w:r>
      <w:r w:rsidRPr="00F95888">
        <w:rPr>
          <w:rFonts w:ascii="Gothic720 BT" w:hAnsi="Gothic720 BT"/>
          <w:sz w:val="16"/>
          <w:szCs w:val="16"/>
        </w:rPr>
        <w:t>En caso de que el material solicitado se encuentre en calidad de préstamo, quien solicite su préstamo podrá requerir le sean reservadas las obras para que en cuanto sean devueltas se le comunique y así tener acceso a ellas; debiendo recogerlas el día y hora en que se le notifique, de lo contrario será cancelada su reservación.</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r w:rsidRPr="00F95888">
        <w:rPr>
          <w:rFonts w:ascii="Gothic720 BT" w:hAnsi="Gothic720 BT" w:cs="Arial"/>
          <w:b/>
          <w:sz w:val="16"/>
          <w:szCs w:val="16"/>
        </w:rPr>
        <w:t xml:space="preserve">Artículo 15. </w:t>
      </w:r>
      <w:r w:rsidRPr="00F95888">
        <w:rPr>
          <w:rFonts w:ascii="Gothic720 BT" w:hAnsi="Gothic720 BT" w:cs="Arial"/>
          <w:sz w:val="16"/>
          <w:szCs w:val="16"/>
        </w:rPr>
        <w:t xml:space="preserve">Se permitirá el préstamo a domicilio del material bibliográfico.  </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both"/>
        <w:rPr>
          <w:rFonts w:ascii="Gothic720 BT" w:hAnsi="Gothic720 BT" w:cs="Arial"/>
          <w:sz w:val="16"/>
          <w:szCs w:val="16"/>
        </w:rPr>
      </w:pPr>
      <w:r w:rsidRPr="00F95888">
        <w:rPr>
          <w:rFonts w:ascii="Gothic720 BT" w:hAnsi="Gothic720 BT" w:cs="Arial"/>
          <w:b/>
          <w:sz w:val="16"/>
          <w:szCs w:val="16"/>
        </w:rPr>
        <w:t xml:space="preserve">Artículo 16. </w:t>
      </w:r>
      <w:r w:rsidRPr="00F95888">
        <w:rPr>
          <w:rFonts w:ascii="Gothic720 BT" w:hAnsi="Gothic720 BT" w:cs="Arial"/>
          <w:sz w:val="16"/>
          <w:szCs w:val="16"/>
        </w:rPr>
        <w:t>Los préstamos a domicilio son personales, siendo el material facilitado de absoluta responsabilidad de quién lo retira, no pudiendo transferirlo de ninguna manera a otra persona.</w:t>
      </w:r>
    </w:p>
    <w:p w:rsidR="00FE3C62" w:rsidRPr="00F95888" w:rsidRDefault="00FE3C62" w:rsidP="00FE3C62">
      <w:pPr>
        <w:spacing w:after="0" w:line="240" w:lineRule="auto"/>
        <w:ind w:left="567"/>
        <w:jc w:val="both"/>
        <w:rPr>
          <w:rFonts w:ascii="Gothic720 BT" w:hAnsi="Gothic720 BT" w:cs="Arial"/>
          <w:b/>
          <w:sz w:val="16"/>
          <w:szCs w:val="16"/>
        </w:rPr>
      </w:pPr>
    </w:p>
    <w:p w:rsidR="00FE3C62" w:rsidRPr="00F95888" w:rsidRDefault="00FE3C62" w:rsidP="00FE3C62">
      <w:pPr>
        <w:spacing w:after="0" w:line="240" w:lineRule="auto"/>
        <w:ind w:left="567"/>
        <w:jc w:val="both"/>
        <w:rPr>
          <w:rFonts w:ascii="Gothic720 BT" w:hAnsi="Gothic720 BT" w:cs="Arial"/>
          <w:sz w:val="16"/>
          <w:szCs w:val="16"/>
        </w:rPr>
      </w:pPr>
      <w:r w:rsidRPr="00F95888">
        <w:rPr>
          <w:rFonts w:ascii="Gothic720 BT" w:hAnsi="Gothic720 BT" w:cs="Arial"/>
          <w:b/>
          <w:sz w:val="16"/>
          <w:szCs w:val="16"/>
        </w:rPr>
        <w:t xml:space="preserve">Artículo 17. </w:t>
      </w:r>
      <w:r w:rsidRPr="00F95888">
        <w:rPr>
          <w:rFonts w:ascii="Gothic720 BT" w:hAnsi="Gothic720 BT" w:cs="Arial"/>
          <w:sz w:val="16"/>
          <w:szCs w:val="16"/>
        </w:rPr>
        <w:t>La devolución del material será personal.</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cs="Arial"/>
          <w:b/>
          <w:sz w:val="16"/>
          <w:szCs w:val="16"/>
        </w:rPr>
        <w:t>Artículo</w:t>
      </w:r>
      <w:r w:rsidRPr="00F95888">
        <w:rPr>
          <w:rFonts w:ascii="Gothic720 BT" w:hAnsi="Gothic720 BT" w:cs="Arial"/>
          <w:sz w:val="16"/>
          <w:szCs w:val="16"/>
        </w:rPr>
        <w:t xml:space="preserve"> </w:t>
      </w:r>
      <w:r w:rsidRPr="00F95888">
        <w:rPr>
          <w:rFonts w:ascii="Gothic720 BT" w:hAnsi="Gothic720 BT" w:cs="Arial"/>
          <w:b/>
          <w:sz w:val="16"/>
          <w:szCs w:val="16"/>
        </w:rPr>
        <w:t>18.</w:t>
      </w:r>
      <w:r w:rsidRPr="00F95888">
        <w:rPr>
          <w:rFonts w:ascii="Gothic720 BT" w:hAnsi="Gothic720 BT" w:cs="Arial"/>
          <w:sz w:val="16"/>
          <w:szCs w:val="16"/>
        </w:rPr>
        <w:t xml:space="preserve"> </w:t>
      </w:r>
      <w:r w:rsidRPr="00F95888">
        <w:rPr>
          <w:rFonts w:ascii="Gothic720 BT" w:hAnsi="Gothic720 BT"/>
          <w:sz w:val="16"/>
          <w:szCs w:val="16"/>
        </w:rPr>
        <w:t>El préstamo externo de material bibliográfico podrá realizarse hasta por dos ejemplares y por un plazo de máximo cinco días hábiles, debiendo llenar el formato  que  proporcione la Dirección, el cual deberá contener todos los datos necesarios para el contactar a quien solicite el préstamo de material, así como adjuntarse fotocopia de su credencial para votar.</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spacing w:after="0" w:line="240" w:lineRule="auto"/>
        <w:ind w:left="567"/>
        <w:jc w:val="both"/>
        <w:rPr>
          <w:rFonts w:ascii="Gothic720 BT" w:hAnsi="Gothic720 BT" w:cs="Arial"/>
          <w:bCs/>
          <w:sz w:val="16"/>
          <w:szCs w:val="16"/>
        </w:rPr>
      </w:pPr>
      <w:r w:rsidRPr="00F95888">
        <w:rPr>
          <w:rFonts w:ascii="Gothic720 BT" w:hAnsi="Gothic720 BT" w:cs="Arial"/>
          <w:b/>
          <w:bCs/>
          <w:sz w:val="16"/>
          <w:szCs w:val="16"/>
        </w:rPr>
        <w:t xml:space="preserve">Artículo 19. </w:t>
      </w:r>
      <w:r w:rsidRPr="00F95888">
        <w:rPr>
          <w:rFonts w:ascii="Gothic720 BT" w:hAnsi="Gothic720 BT" w:cs="Arial"/>
          <w:bCs/>
          <w:sz w:val="16"/>
          <w:szCs w:val="16"/>
        </w:rPr>
        <w:t>Es facultad de la Dirección determinar qué títulos no son sujetos de préstamo externo, en razón de tratarse de ejemplares únicos o de colección, los cuales podrán ser consultados únicamente en la biblioteca.</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both"/>
        <w:rPr>
          <w:rFonts w:ascii="Gothic720 BT" w:hAnsi="Gothic720 BT" w:cs="Arial"/>
          <w:bCs/>
          <w:sz w:val="16"/>
          <w:szCs w:val="16"/>
        </w:rPr>
      </w:pPr>
      <w:r w:rsidRPr="00F95888">
        <w:rPr>
          <w:rFonts w:ascii="Gothic720 BT" w:hAnsi="Gothic720 BT" w:cs="Arial"/>
          <w:b/>
          <w:bCs/>
          <w:sz w:val="16"/>
          <w:szCs w:val="16"/>
        </w:rPr>
        <w:t xml:space="preserve">Artículo 20. </w:t>
      </w:r>
      <w:r w:rsidRPr="00F95888">
        <w:rPr>
          <w:rFonts w:ascii="Gothic720 BT" w:hAnsi="Gothic720 BT" w:cs="Arial"/>
          <w:bCs/>
          <w:sz w:val="16"/>
          <w:szCs w:val="16"/>
        </w:rPr>
        <w:t>Quien solicite el préstamo de algún ejemplar podrá solicitar una prórroga para la devolución del material bibliográfico, hasta en dos ocasiones, siempre que dicho material no haya sido solicitado por otra persona.</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bCs/>
          <w:sz w:val="16"/>
          <w:szCs w:val="16"/>
        </w:rPr>
        <w:lastRenderedPageBreak/>
        <w:t>Artículo 21.</w:t>
      </w:r>
      <w:r w:rsidRPr="00F95888">
        <w:rPr>
          <w:b/>
          <w:bCs/>
          <w:sz w:val="16"/>
          <w:szCs w:val="16"/>
        </w:rPr>
        <w:t xml:space="preserve"> </w:t>
      </w:r>
      <w:r w:rsidRPr="00F95888">
        <w:rPr>
          <w:rFonts w:ascii="Gothic720 BT" w:hAnsi="Gothic720 BT"/>
          <w:sz w:val="16"/>
          <w:szCs w:val="16"/>
        </w:rPr>
        <w:t>El servicio de préstamo inter bibliotecario es una cortesía de la biblioteca que lo concede y un privilegio para la biblioteca que lo recibe, que se extiende en términos de reciprocidad a efecto de que las personas que hacen uso de los servicios de una biblioteca puedan obtener en préstamo los materiales que pertenecen a otra.</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spacing w:after="0" w:line="240" w:lineRule="auto"/>
        <w:ind w:left="567"/>
        <w:jc w:val="both"/>
        <w:rPr>
          <w:rFonts w:ascii="Gothic720 BT" w:hAnsi="Gothic720 BT" w:cs="Arial"/>
          <w:sz w:val="16"/>
          <w:szCs w:val="16"/>
        </w:rPr>
      </w:pPr>
      <w:r w:rsidRPr="00F95888">
        <w:rPr>
          <w:rFonts w:ascii="Gothic720 BT" w:hAnsi="Gothic720 BT" w:cs="Arial"/>
          <w:b/>
          <w:bCs/>
          <w:sz w:val="16"/>
          <w:szCs w:val="16"/>
        </w:rPr>
        <w:t xml:space="preserve">Artículo 22. </w:t>
      </w:r>
      <w:r w:rsidRPr="00F95888">
        <w:rPr>
          <w:rFonts w:ascii="Gothic720 BT" w:hAnsi="Gothic720 BT" w:cs="Arial"/>
          <w:sz w:val="16"/>
          <w:szCs w:val="16"/>
        </w:rPr>
        <w:t>El préstamo inter bibliotecario estará sujeto a los convenios que en su caso se suscriban con otras las instituciones.</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both"/>
        <w:rPr>
          <w:rFonts w:ascii="Gothic720 BT" w:hAnsi="Gothic720 BT" w:cs="Arial"/>
          <w:b/>
          <w:sz w:val="16"/>
          <w:szCs w:val="16"/>
        </w:rPr>
      </w:pPr>
      <w:r w:rsidRPr="00F95888">
        <w:rPr>
          <w:rFonts w:ascii="Gothic720 BT" w:hAnsi="Gothic720 BT" w:cs="Arial"/>
          <w:b/>
          <w:bCs/>
          <w:sz w:val="16"/>
          <w:szCs w:val="16"/>
        </w:rPr>
        <w:t xml:space="preserve">Artículo 23. </w:t>
      </w:r>
      <w:r w:rsidRPr="00F95888">
        <w:rPr>
          <w:rFonts w:ascii="Gothic720 BT" w:hAnsi="Gothic720 BT" w:cs="Arial"/>
          <w:bCs/>
          <w:sz w:val="16"/>
          <w:szCs w:val="16"/>
        </w:rPr>
        <w:t>La</w:t>
      </w:r>
      <w:r w:rsidRPr="00F95888">
        <w:rPr>
          <w:rFonts w:ascii="Gothic720 BT" w:hAnsi="Gothic720 BT" w:cs="Arial"/>
          <w:sz w:val="16"/>
          <w:szCs w:val="16"/>
        </w:rPr>
        <w:t xml:space="preserve"> difusión del material bibliográfico se realiza a través de la revista institucional.</w:t>
      </w:r>
    </w:p>
    <w:p w:rsidR="00FE3C62"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CAPÍTULO V</w:t>
      </w:r>
    </w:p>
    <w:p w:rsidR="00FE3C62" w:rsidRPr="00F95888" w:rsidRDefault="00FE3C62" w:rsidP="00FE3C62">
      <w:pPr>
        <w:spacing w:after="0" w:line="240" w:lineRule="auto"/>
        <w:ind w:left="567"/>
        <w:jc w:val="center"/>
        <w:rPr>
          <w:rFonts w:ascii="Gothic720 BT" w:hAnsi="Gothic720 BT" w:cs="Arial"/>
          <w:b/>
          <w:sz w:val="16"/>
          <w:szCs w:val="16"/>
        </w:rPr>
      </w:pPr>
      <w:r w:rsidRPr="00F95888">
        <w:rPr>
          <w:rFonts w:ascii="Gothic720 BT" w:hAnsi="Gothic720 BT" w:cs="Arial"/>
          <w:b/>
          <w:sz w:val="16"/>
          <w:szCs w:val="16"/>
        </w:rPr>
        <w:t>Cuidado del material y casos no previstos</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Default"/>
        <w:ind w:left="567"/>
        <w:jc w:val="both"/>
        <w:rPr>
          <w:rFonts w:ascii="Gothic720 BT" w:hAnsi="Gothic720 BT"/>
          <w:sz w:val="16"/>
          <w:szCs w:val="16"/>
        </w:rPr>
      </w:pPr>
      <w:r w:rsidRPr="00F95888">
        <w:rPr>
          <w:rFonts w:ascii="Gothic720 BT" w:hAnsi="Gothic720 BT"/>
          <w:b/>
          <w:bCs/>
          <w:sz w:val="16"/>
          <w:szCs w:val="16"/>
        </w:rPr>
        <w:t xml:space="preserve">Artículo 24. </w:t>
      </w:r>
      <w:r w:rsidRPr="00F95888">
        <w:rPr>
          <w:rFonts w:ascii="Gothic720 BT" w:hAnsi="Gothic720 BT"/>
          <w:sz w:val="16"/>
          <w:szCs w:val="16"/>
        </w:rPr>
        <w:t>La Dirección revisará el estado en el que se encuentran los ejemplares que otorga en préstamo y cuando son devueltos por quien realiza la consulta.</w:t>
      </w:r>
    </w:p>
    <w:p w:rsidR="00FE3C62" w:rsidRPr="00F95888" w:rsidRDefault="00FE3C62" w:rsidP="00FE3C62">
      <w:pPr>
        <w:pStyle w:val="Default"/>
        <w:ind w:left="567"/>
        <w:jc w:val="both"/>
        <w:rPr>
          <w:rFonts w:ascii="Gothic720 BT" w:hAnsi="Gothic720 BT"/>
          <w:sz w:val="16"/>
          <w:szCs w:val="16"/>
        </w:rPr>
      </w:pPr>
    </w:p>
    <w:p w:rsidR="00FE3C62" w:rsidRPr="00F95888" w:rsidRDefault="00FE3C62" w:rsidP="00FE3C62">
      <w:pPr>
        <w:spacing w:after="0" w:line="240" w:lineRule="auto"/>
        <w:ind w:left="567"/>
        <w:jc w:val="both"/>
        <w:rPr>
          <w:rFonts w:ascii="Gothic720 BT" w:hAnsi="Gothic720 BT" w:cs="Arial"/>
          <w:sz w:val="16"/>
          <w:szCs w:val="16"/>
        </w:rPr>
      </w:pPr>
      <w:r w:rsidRPr="00F95888">
        <w:rPr>
          <w:rFonts w:ascii="Gothic720 BT" w:hAnsi="Gothic720 BT" w:cs="Arial"/>
          <w:b/>
          <w:bCs/>
          <w:sz w:val="16"/>
          <w:szCs w:val="16"/>
        </w:rPr>
        <w:t xml:space="preserve">Artículo 25. </w:t>
      </w:r>
      <w:r w:rsidRPr="00F95888">
        <w:rPr>
          <w:rFonts w:ascii="Gothic720 BT" w:hAnsi="Gothic720 BT" w:cs="Arial"/>
          <w:sz w:val="16"/>
          <w:szCs w:val="16"/>
        </w:rPr>
        <w:t>El deterioro de una obra se sancionará con el pago total de su valor actual en el mercado o la reposición del mismo.</w:t>
      </w:r>
    </w:p>
    <w:p w:rsidR="00FE3C62" w:rsidRPr="00F95888" w:rsidRDefault="00FE3C62" w:rsidP="00FE3C62">
      <w:pPr>
        <w:spacing w:after="0" w:line="240" w:lineRule="auto"/>
        <w:ind w:left="567"/>
        <w:jc w:val="both"/>
        <w:rPr>
          <w:rFonts w:ascii="Times New Roman" w:eastAsia="Times New Roman" w:hAnsi="Times New Roman"/>
          <w:sz w:val="16"/>
          <w:szCs w:val="16"/>
          <w:lang w:eastAsia="es-MX"/>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b/>
          <w:bCs/>
          <w:sz w:val="16"/>
          <w:szCs w:val="16"/>
        </w:rPr>
        <w:t>Artículo 26.</w:t>
      </w:r>
      <w:r w:rsidRPr="00F95888">
        <w:rPr>
          <w:b/>
          <w:bCs/>
          <w:sz w:val="16"/>
          <w:szCs w:val="16"/>
        </w:rPr>
        <w:t xml:space="preserve"> </w:t>
      </w:r>
      <w:r w:rsidRPr="00F95888">
        <w:rPr>
          <w:rFonts w:ascii="Gothic720 BT" w:hAnsi="Gothic720 BT"/>
          <w:bCs/>
          <w:sz w:val="16"/>
          <w:szCs w:val="16"/>
        </w:rPr>
        <w:t>Quien</w:t>
      </w:r>
      <w:r w:rsidRPr="00F95888">
        <w:rPr>
          <w:rFonts w:ascii="Gothic720 BT" w:hAnsi="Gothic720 BT"/>
          <w:sz w:val="16"/>
          <w:szCs w:val="16"/>
        </w:rPr>
        <w:t xml:space="preserve"> extravíe un libro y/o cualquier otro material propiedad de la biblioteca, deberá comunicarlo de inmediato a la Dirección, quien fijará un plazo de quince días para su reposición. </w:t>
      </w:r>
    </w:p>
    <w:p w:rsidR="00FE3C62" w:rsidRPr="00F95888" w:rsidRDefault="00FE3C62" w:rsidP="00FE3C62">
      <w:pPr>
        <w:pStyle w:val="Sinespaciado"/>
        <w:ind w:left="567"/>
        <w:jc w:val="both"/>
        <w:rPr>
          <w:rFonts w:ascii="Gothic720 BT" w:hAnsi="Gothic720 BT"/>
          <w:sz w:val="16"/>
          <w:szCs w:val="16"/>
        </w:rPr>
      </w:pPr>
    </w:p>
    <w:p w:rsidR="00FE3C62" w:rsidRPr="00F95888" w:rsidRDefault="00FE3C62" w:rsidP="00FE3C62">
      <w:pPr>
        <w:pStyle w:val="Sinespaciado"/>
        <w:ind w:left="567"/>
        <w:jc w:val="both"/>
        <w:rPr>
          <w:rFonts w:ascii="Gothic720 BT" w:hAnsi="Gothic720 BT"/>
          <w:color w:val="000000"/>
          <w:sz w:val="16"/>
          <w:szCs w:val="16"/>
        </w:rPr>
      </w:pPr>
      <w:r w:rsidRPr="00F95888">
        <w:rPr>
          <w:rFonts w:ascii="Gothic720 BT" w:hAnsi="Gothic720 BT"/>
          <w:color w:val="000000"/>
          <w:sz w:val="16"/>
          <w:szCs w:val="16"/>
        </w:rPr>
        <w:t xml:space="preserve">Si se tratase de un libro de edición agotada, se aceptará uno similar a juicio de la Dirección. </w:t>
      </w:r>
    </w:p>
    <w:p w:rsidR="00FE3C62" w:rsidRPr="00F95888" w:rsidRDefault="00FE3C62" w:rsidP="00FE3C62">
      <w:pPr>
        <w:pStyle w:val="Sinespaciado"/>
        <w:ind w:left="567"/>
        <w:jc w:val="both"/>
        <w:rPr>
          <w:rFonts w:ascii="Gothic720 BT" w:hAnsi="Gothic720 BT"/>
          <w:color w:val="000000"/>
          <w:sz w:val="16"/>
          <w:szCs w:val="16"/>
        </w:rPr>
      </w:pPr>
    </w:p>
    <w:p w:rsidR="00FE3C62" w:rsidRPr="00F95888" w:rsidRDefault="00FE3C62" w:rsidP="00FE3C62">
      <w:pPr>
        <w:pStyle w:val="Sinespaciado"/>
        <w:ind w:left="567"/>
        <w:jc w:val="both"/>
        <w:rPr>
          <w:rFonts w:ascii="Gothic720 BT" w:hAnsi="Gothic720 BT"/>
          <w:sz w:val="16"/>
          <w:szCs w:val="16"/>
        </w:rPr>
      </w:pPr>
      <w:r w:rsidRPr="00F95888">
        <w:rPr>
          <w:rFonts w:ascii="Gothic720 BT" w:hAnsi="Gothic720 BT"/>
          <w:sz w:val="16"/>
          <w:szCs w:val="16"/>
        </w:rPr>
        <w:t>En tanto la obra no sea repuesta,</w:t>
      </w:r>
      <w:r w:rsidRPr="00F95888">
        <w:rPr>
          <w:rFonts w:ascii="Gothic720 BT" w:hAnsi="Gothic720 BT"/>
          <w:b/>
          <w:sz w:val="16"/>
          <w:szCs w:val="16"/>
        </w:rPr>
        <w:t xml:space="preserve"> </w:t>
      </w:r>
      <w:r w:rsidRPr="00F95888">
        <w:rPr>
          <w:rFonts w:ascii="Gothic720 BT" w:hAnsi="Gothic720 BT"/>
          <w:sz w:val="16"/>
          <w:szCs w:val="16"/>
        </w:rPr>
        <w:t>quien extravíe el material no podrá gozar el préstamo externo  hasta la devolución del mismo.</w:t>
      </w:r>
    </w:p>
    <w:p w:rsidR="00FE3C62" w:rsidRPr="00F95888" w:rsidRDefault="00FE3C62" w:rsidP="00FE3C62">
      <w:pPr>
        <w:pStyle w:val="Default"/>
        <w:ind w:left="567"/>
        <w:jc w:val="both"/>
        <w:rPr>
          <w:rFonts w:ascii="Gothic720 BT" w:hAnsi="Gothic720 BT"/>
          <w:sz w:val="16"/>
          <w:szCs w:val="16"/>
        </w:rPr>
      </w:pPr>
    </w:p>
    <w:p w:rsidR="00FE3C62" w:rsidRPr="00F95888" w:rsidRDefault="00FE3C62" w:rsidP="00FE3C62">
      <w:pPr>
        <w:ind w:left="567"/>
        <w:jc w:val="both"/>
        <w:rPr>
          <w:rFonts w:ascii="Times New Roman" w:eastAsia="Times New Roman" w:hAnsi="Times New Roman"/>
          <w:sz w:val="16"/>
          <w:szCs w:val="16"/>
          <w:lang w:eastAsia="es-MX"/>
        </w:rPr>
      </w:pPr>
      <w:r w:rsidRPr="00F95888">
        <w:rPr>
          <w:rFonts w:ascii="Gothic720 BT" w:hAnsi="Gothic720 BT" w:cs="Arial"/>
          <w:b/>
          <w:sz w:val="16"/>
          <w:szCs w:val="16"/>
          <w:lang w:val="es-ES"/>
        </w:rPr>
        <w:t>Artículo 27</w:t>
      </w:r>
      <w:r w:rsidRPr="00F95888">
        <w:rPr>
          <w:rFonts w:ascii="Gothic720 BT" w:hAnsi="Gothic720 BT" w:cs="Arial"/>
          <w:sz w:val="16"/>
          <w:szCs w:val="16"/>
          <w:lang w:val="es-ES"/>
        </w:rPr>
        <w:t>. Los casos no previstos en estos lineamientos serán resueltos por la Dirección.</w:t>
      </w:r>
    </w:p>
    <w:p w:rsidR="00FE3C62" w:rsidRPr="00F95888" w:rsidRDefault="00FE3C62" w:rsidP="00FE3C62">
      <w:pPr>
        <w:ind w:left="567"/>
        <w:jc w:val="center"/>
        <w:rPr>
          <w:rFonts w:ascii="Gothic720 BT" w:hAnsi="Gothic720 BT" w:cs="Arial"/>
          <w:b/>
          <w:sz w:val="16"/>
          <w:szCs w:val="16"/>
          <w:lang w:val="es-ES"/>
        </w:rPr>
      </w:pPr>
      <w:r w:rsidRPr="00F95888">
        <w:rPr>
          <w:rFonts w:ascii="Gothic720 BT" w:hAnsi="Gothic720 BT" w:cs="Arial"/>
          <w:b/>
          <w:sz w:val="16"/>
          <w:szCs w:val="16"/>
          <w:lang w:val="es-ES"/>
        </w:rPr>
        <w:t>TRANSITORIOS</w:t>
      </w:r>
    </w:p>
    <w:p w:rsidR="00FE3C62" w:rsidRPr="00F95888" w:rsidRDefault="00FE3C62" w:rsidP="00FE3C62">
      <w:pPr>
        <w:pStyle w:val="Sinespaciado"/>
        <w:ind w:left="567"/>
        <w:jc w:val="both"/>
        <w:rPr>
          <w:rFonts w:ascii="Gothic720 BT" w:eastAsia="Times New Roman" w:hAnsi="Gothic720 BT"/>
          <w:sz w:val="16"/>
          <w:szCs w:val="16"/>
          <w:lang w:eastAsia="es-MX"/>
        </w:rPr>
      </w:pPr>
      <w:r w:rsidRPr="00F95888">
        <w:rPr>
          <w:rFonts w:ascii="Gothic720 BT" w:eastAsia="Times New Roman" w:hAnsi="Gothic720 BT"/>
          <w:b/>
          <w:sz w:val="16"/>
          <w:szCs w:val="16"/>
          <w:lang w:eastAsia="es-MX"/>
        </w:rPr>
        <w:t xml:space="preserve">Primero. </w:t>
      </w:r>
      <w:r w:rsidRPr="00F95888">
        <w:rPr>
          <w:rFonts w:ascii="Gothic720 BT" w:eastAsia="Times New Roman" w:hAnsi="Gothic720 BT"/>
          <w:sz w:val="16"/>
          <w:szCs w:val="16"/>
          <w:lang w:eastAsia="es-MX"/>
        </w:rPr>
        <w:t>Se abroga el Reglamento de la biblioteca del Instituto Electoral de Querétaro.</w:t>
      </w:r>
    </w:p>
    <w:p w:rsidR="00FE3C62" w:rsidRPr="00F95888" w:rsidRDefault="00FE3C62" w:rsidP="00FE3C62">
      <w:pPr>
        <w:pStyle w:val="Sinespaciado"/>
        <w:ind w:left="567"/>
        <w:jc w:val="both"/>
        <w:rPr>
          <w:rFonts w:ascii="Gothic720 BT" w:hAnsi="Gothic720 BT"/>
          <w:b/>
          <w:sz w:val="16"/>
          <w:szCs w:val="16"/>
          <w:lang w:val="es-ES"/>
        </w:rPr>
      </w:pPr>
    </w:p>
    <w:p w:rsidR="00FE3C62" w:rsidRPr="00F95888" w:rsidRDefault="00FE3C62" w:rsidP="00FE3C62">
      <w:pPr>
        <w:pStyle w:val="Sinespaciado"/>
        <w:ind w:left="567"/>
        <w:jc w:val="both"/>
        <w:rPr>
          <w:rFonts w:ascii="Gothic720 BT" w:hAnsi="Gothic720 BT"/>
          <w:sz w:val="16"/>
          <w:szCs w:val="16"/>
          <w:lang w:val="es-ES"/>
        </w:rPr>
      </w:pPr>
      <w:r w:rsidRPr="00F95888">
        <w:rPr>
          <w:rFonts w:ascii="Gothic720 BT" w:hAnsi="Gothic720 BT"/>
          <w:b/>
          <w:sz w:val="16"/>
          <w:szCs w:val="16"/>
          <w:lang w:val="es-ES"/>
        </w:rPr>
        <w:t>Segundo</w:t>
      </w:r>
      <w:r w:rsidRPr="00F95888">
        <w:rPr>
          <w:sz w:val="16"/>
          <w:szCs w:val="16"/>
          <w:lang w:val="es-ES"/>
        </w:rPr>
        <w:t xml:space="preserve">. </w:t>
      </w:r>
      <w:r w:rsidRPr="00F95888">
        <w:rPr>
          <w:rFonts w:ascii="Gothic720 BT" w:hAnsi="Gothic720 BT"/>
          <w:sz w:val="16"/>
          <w:szCs w:val="16"/>
          <w:lang w:val="es-ES"/>
        </w:rPr>
        <w:t>Estos lineamientos entrarán en vigor al día siguiente de su aprobación por el Consejo General del Instituto.</w:t>
      </w:r>
    </w:p>
    <w:p w:rsidR="00FE3C62" w:rsidRPr="00F95888" w:rsidRDefault="00FE3C62" w:rsidP="00FE3C62">
      <w:pPr>
        <w:tabs>
          <w:tab w:val="left" w:pos="1134"/>
          <w:tab w:val="left" w:pos="1276"/>
        </w:tabs>
        <w:spacing w:after="0"/>
        <w:ind w:left="567" w:right="49"/>
        <w:jc w:val="both"/>
        <w:rPr>
          <w:rFonts w:ascii="Gothic720 BT" w:hAnsi="Gothic720 BT" w:cs="Arial"/>
          <w:i/>
          <w:sz w:val="16"/>
          <w:szCs w:val="16"/>
        </w:rPr>
      </w:pPr>
    </w:p>
    <w:p w:rsidR="00375300" w:rsidRDefault="00375300"/>
    <w:sectPr w:rsidR="003753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6FF"/>
    <w:multiLevelType w:val="hybridMultilevel"/>
    <w:tmpl w:val="D2A0D7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042FE9"/>
    <w:multiLevelType w:val="hybridMultilevel"/>
    <w:tmpl w:val="A75C1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2E183E"/>
    <w:multiLevelType w:val="hybridMultilevel"/>
    <w:tmpl w:val="84EA8EE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306571"/>
    <w:multiLevelType w:val="hybridMultilevel"/>
    <w:tmpl w:val="C36E0CB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137322"/>
    <w:multiLevelType w:val="hybridMultilevel"/>
    <w:tmpl w:val="1856F88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BD1F26"/>
    <w:multiLevelType w:val="hybridMultilevel"/>
    <w:tmpl w:val="B4CA28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62"/>
    <w:rsid w:val="00375300"/>
    <w:rsid w:val="0065119C"/>
    <w:rsid w:val="00FE3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E3C62"/>
    <w:pPr>
      <w:ind w:left="720"/>
      <w:contextualSpacing/>
    </w:pPr>
  </w:style>
  <w:style w:type="paragraph" w:customStyle="1" w:styleId="Default">
    <w:name w:val="Default"/>
    <w:rsid w:val="00FE3C6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FE3C62"/>
    <w:pPr>
      <w:spacing w:after="0" w:line="240" w:lineRule="auto"/>
    </w:pPr>
  </w:style>
  <w:style w:type="character" w:customStyle="1" w:styleId="PrrafodelistaCar">
    <w:name w:val="Párrafo de lista Car"/>
    <w:link w:val="Prrafodelista"/>
    <w:uiPriority w:val="34"/>
    <w:locked/>
    <w:rsid w:val="00FE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E3C62"/>
    <w:pPr>
      <w:ind w:left="720"/>
      <w:contextualSpacing/>
    </w:pPr>
  </w:style>
  <w:style w:type="paragraph" w:customStyle="1" w:styleId="Default">
    <w:name w:val="Default"/>
    <w:rsid w:val="00FE3C6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FE3C62"/>
    <w:pPr>
      <w:spacing w:after="0" w:line="240" w:lineRule="auto"/>
    </w:pPr>
  </w:style>
  <w:style w:type="character" w:customStyle="1" w:styleId="PrrafodelistaCar">
    <w:name w:val="Párrafo de lista Car"/>
    <w:link w:val="Prrafodelista"/>
    <w:uiPriority w:val="34"/>
    <w:locked/>
    <w:rsid w:val="00F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IEEQ</dc:creator>
  <cp:lastModifiedBy>rosy.gomez</cp:lastModifiedBy>
  <cp:revision>2</cp:revision>
  <dcterms:created xsi:type="dcterms:W3CDTF">2017-08-09T15:48:00Z</dcterms:created>
  <dcterms:modified xsi:type="dcterms:W3CDTF">2017-08-09T21:53:00Z</dcterms:modified>
</cp:coreProperties>
</file>