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94" w:rsidRPr="00D928ED" w:rsidRDefault="00462C94" w:rsidP="00462C94">
      <w:pPr>
        <w:spacing w:after="0"/>
        <w:ind w:left="284"/>
        <w:jc w:val="both"/>
        <w:rPr>
          <w:rFonts w:ascii="Gothic720 BT" w:eastAsia="Times New Roman" w:hAnsi="Gothic720 BT" w:cs="Times New Roman"/>
          <w:b/>
          <w:bCs/>
          <w:sz w:val="18"/>
          <w:szCs w:val="18"/>
          <w:lang w:eastAsia="es-MX" w:bidi="en-US"/>
        </w:rPr>
      </w:pPr>
      <w:r w:rsidRPr="00D928ED">
        <w:rPr>
          <w:rFonts w:ascii="Gothic720 BT" w:eastAsia="Times New Roman" w:hAnsi="Gothic720 BT" w:cs="Times New Roman"/>
          <w:b/>
          <w:bCs/>
          <w:sz w:val="18"/>
          <w:szCs w:val="18"/>
          <w:lang w:eastAsia="es-MX" w:bidi="en-US"/>
        </w:rPr>
        <w:t>LINEAMIENTOS PARA LA ELABORACIÓN, ENTREGA DE MINUTAS Y DICTÁMENES DE LAS SESIONES</w:t>
      </w:r>
      <w:r>
        <w:rPr>
          <w:rFonts w:ascii="Gothic720 BT" w:eastAsia="Times New Roman" w:hAnsi="Gothic720 BT" w:cs="Times New Roman"/>
          <w:b/>
          <w:bCs/>
          <w:sz w:val="18"/>
          <w:szCs w:val="18"/>
          <w:lang w:eastAsia="es-MX" w:bidi="en-US"/>
        </w:rPr>
        <w:t xml:space="preserve"> DE LAS COMISIONES PERMANENTES </w:t>
      </w:r>
      <w:r w:rsidRPr="00D928ED">
        <w:rPr>
          <w:rFonts w:ascii="Gothic720 BT" w:eastAsia="Times New Roman" w:hAnsi="Gothic720 BT" w:cs="Times New Roman"/>
          <w:b/>
          <w:bCs/>
          <w:sz w:val="18"/>
          <w:szCs w:val="18"/>
          <w:lang w:eastAsia="es-MX" w:bidi="en-US"/>
        </w:rPr>
        <w:t>Y TRANSITORIAS DEL INSTITUTO ELECTORAL DEL ESTADO DE QUERÉTARO.</w:t>
      </w:r>
    </w:p>
    <w:p w:rsidR="00462C94" w:rsidRPr="00A51892" w:rsidRDefault="00462C94" w:rsidP="00462C94">
      <w:pPr>
        <w:tabs>
          <w:tab w:val="left" w:pos="747"/>
        </w:tabs>
        <w:spacing w:after="0"/>
        <w:ind w:left="284"/>
        <w:rPr>
          <w:rFonts w:ascii="Gothic720 BT" w:eastAsia="Times New Roman" w:hAnsi="Gothic720 BT"/>
          <w:bCs/>
          <w:sz w:val="18"/>
          <w:szCs w:val="18"/>
          <w:lang w:bidi="en-US"/>
        </w:rPr>
      </w:pPr>
      <w:r w:rsidRPr="00A51892">
        <w:rPr>
          <w:rFonts w:ascii="Gothic720 BT" w:eastAsia="Times New Roman" w:hAnsi="Gothic720 BT"/>
          <w:bCs/>
          <w:sz w:val="18"/>
          <w:szCs w:val="18"/>
          <w:lang w:bidi="en-US"/>
        </w:rPr>
        <w:t>…</w:t>
      </w:r>
    </w:p>
    <w:p w:rsidR="00462C94" w:rsidRDefault="00462C94" w:rsidP="00462C94">
      <w:pPr>
        <w:spacing w:after="0"/>
        <w:ind w:left="284"/>
        <w:jc w:val="center"/>
        <w:rPr>
          <w:rFonts w:ascii="Gothic720 BT" w:eastAsia="Times New Roman" w:hAnsi="Gothic720 BT" w:cs="Times New Roman"/>
          <w:b/>
          <w:bCs/>
          <w:sz w:val="18"/>
          <w:szCs w:val="18"/>
          <w:lang w:eastAsia="es-MX" w:bidi="en-US"/>
        </w:rPr>
      </w:pPr>
    </w:p>
    <w:p w:rsidR="00462C94" w:rsidRDefault="00462C94" w:rsidP="00462C94">
      <w:pPr>
        <w:spacing w:after="0"/>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CAPÍTULO I</w:t>
      </w: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GENERALIDADES</w:t>
      </w: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 xml:space="preserve">Artículo 1.  </w:t>
      </w:r>
      <w:r w:rsidRPr="001741E6">
        <w:rPr>
          <w:rFonts w:ascii="Gothic720 BT" w:eastAsia="Times New Roman" w:hAnsi="Gothic720 BT" w:cs="Times New Roman"/>
          <w:bCs/>
          <w:sz w:val="18"/>
          <w:szCs w:val="18"/>
          <w:lang w:eastAsia="es-MX" w:bidi="en-US"/>
        </w:rPr>
        <w:t>El objetivo de los presentes lineamientos consiste en establecer y regular las actividades relativas a la elaboración, revisión, firma, remisión de las minutas y de los dictámenes de las Comisiones permanentes y transitorias.</w:t>
      </w: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Cs/>
          <w:sz w:val="18"/>
          <w:szCs w:val="18"/>
          <w:lang w:eastAsia="es-MX" w:bidi="en-US"/>
        </w:rPr>
        <w:t xml:space="preserve">Los Comités Técnicos Asesores creados por el Consejo General del Instituto Electoral del Estado de Querétaro, para la elaboración de sus minutas de trabajo y dictámenes deberán observar los presentes lineamientos </w:t>
      </w:r>
    </w:p>
    <w:p w:rsidR="00462C94" w:rsidRPr="001741E6" w:rsidRDefault="00462C94" w:rsidP="00462C94">
      <w:pPr>
        <w:spacing w:after="0"/>
        <w:ind w:left="284"/>
        <w:jc w:val="both"/>
        <w:rPr>
          <w:rFonts w:ascii="Gothic720 BT" w:eastAsia="Times New Roman" w:hAnsi="Gothic720 BT" w:cs="Times New Roman"/>
          <w:bCs/>
          <w:sz w:val="18"/>
          <w:szCs w:val="18"/>
          <w:lang w:val="es-ES"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Artículo 2.</w:t>
      </w:r>
      <w:r w:rsidRPr="001741E6">
        <w:rPr>
          <w:rFonts w:ascii="Gothic720 BT" w:eastAsia="Times New Roman" w:hAnsi="Gothic720 BT" w:cs="Times New Roman"/>
          <w:bCs/>
          <w:sz w:val="18"/>
          <w:szCs w:val="18"/>
          <w:lang w:eastAsia="es-MX" w:bidi="en-US"/>
        </w:rPr>
        <w:t xml:space="preserve"> Para los efectos de estos lineamientos se entenderá por:</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sz w:val="18"/>
          <w:szCs w:val="18"/>
          <w:lang w:eastAsia="es-MX" w:bidi="en-US"/>
        </w:rPr>
        <w:t>Instituto:</w:t>
      </w:r>
      <w:r w:rsidRPr="001741E6">
        <w:rPr>
          <w:rFonts w:ascii="Gothic720 BT" w:eastAsia="Times New Roman" w:hAnsi="Gothic720 BT" w:cs="Times New Roman"/>
          <w:sz w:val="18"/>
          <w:szCs w:val="18"/>
          <w:lang w:eastAsia="es-MX" w:bidi="en-US"/>
        </w:rPr>
        <w:t xml:space="preserve"> Instituto Electoral del Estado de Querétaro.</w:t>
      </w:r>
    </w:p>
    <w:p w:rsidR="00462C94" w:rsidRPr="001741E6" w:rsidRDefault="00462C94" w:rsidP="00462C94">
      <w:pPr>
        <w:spacing w:after="0"/>
        <w:ind w:left="709"/>
        <w:jc w:val="both"/>
        <w:rPr>
          <w:rFonts w:ascii="Gothic720 BT" w:eastAsia="Times New Roman" w:hAnsi="Gothic720 BT" w:cs="Times New Roman"/>
          <w:bCs/>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sz w:val="18"/>
          <w:szCs w:val="18"/>
          <w:lang w:eastAsia="es-MX" w:bidi="en-US"/>
        </w:rPr>
        <w:t>Consejo General:</w:t>
      </w:r>
      <w:r w:rsidRPr="001741E6">
        <w:rPr>
          <w:rFonts w:ascii="Gothic720 BT" w:eastAsia="Times New Roman" w:hAnsi="Gothic720 BT" w:cs="Times New Roman"/>
          <w:sz w:val="18"/>
          <w:szCs w:val="18"/>
          <w:lang w:eastAsia="es-MX" w:bidi="en-US"/>
        </w:rPr>
        <w:t xml:space="preserve"> Consejo General del Instituto Electoral del Estado de Querétaro.</w:t>
      </w:r>
    </w:p>
    <w:p w:rsidR="00462C94" w:rsidRPr="001741E6" w:rsidRDefault="00462C94" w:rsidP="00462C94">
      <w:pPr>
        <w:spacing w:after="0"/>
        <w:ind w:left="709"/>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Comisiones:</w:t>
      </w:r>
      <w:r w:rsidRPr="001741E6">
        <w:rPr>
          <w:rFonts w:ascii="Gothic720 BT" w:eastAsia="Times New Roman" w:hAnsi="Gothic720 BT" w:cs="Times New Roman"/>
          <w:sz w:val="18"/>
          <w:szCs w:val="18"/>
          <w:lang w:eastAsia="es-MX" w:bidi="en-US"/>
        </w:rPr>
        <w:t xml:space="preserve"> Comisiones permanentes y transitorias del Consejo General.</w:t>
      </w:r>
    </w:p>
    <w:p w:rsidR="00462C94" w:rsidRPr="001741E6" w:rsidRDefault="00462C94" w:rsidP="00462C94">
      <w:pPr>
        <w:spacing w:after="0" w:line="240" w:lineRule="auto"/>
        <w:ind w:left="709"/>
        <w:rPr>
          <w:rFonts w:ascii="Gothic720 BT" w:eastAsia="Calibri" w:hAnsi="Gothic720 BT" w:cs="Times New Roman"/>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Secretaría Ejecutiva:</w:t>
      </w:r>
      <w:r w:rsidRPr="001741E6">
        <w:rPr>
          <w:rFonts w:ascii="Gothic720 BT" w:eastAsia="Times New Roman" w:hAnsi="Gothic720 BT" w:cs="Times New Roman"/>
          <w:bCs/>
          <w:sz w:val="18"/>
          <w:szCs w:val="18"/>
          <w:lang w:eastAsia="es-MX" w:bidi="en-US"/>
        </w:rPr>
        <w:t xml:space="preserve"> Titular de la Secretaría Ejecutiva.</w:t>
      </w:r>
    </w:p>
    <w:p w:rsidR="00462C94" w:rsidRPr="001741E6" w:rsidRDefault="00462C94" w:rsidP="00462C94">
      <w:pPr>
        <w:spacing w:after="0"/>
        <w:ind w:left="709"/>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Secretaría Técnica:</w:t>
      </w:r>
      <w:r w:rsidRPr="001741E6">
        <w:rPr>
          <w:rFonts w:ascii="Gothic720 BT" w:eastAsia="Times New Roman" w:hAnsi="Gothic720 BT" w:cs="Times New Roman"/>
          <w:sz w:val="18"/>
          <w:szCs w:val="18"/>
          <w:lang w:eastAsia="es-MX" w:bidi="en-US"/>
        </w:rPr>
        <w:t xml:space="preserve"> Secretaria o Secretario Técnico de las Comisiones.</w:t>
      </w:r>
    </w:p>
    <w:p w:rsidR="00462C94" w:rsidRPr="001741E6" w:rsidRDefault="00462C94" w:rsidP="00462C94">
      <w:pPr>
        <w:spacing w:after="0"/>
        <w:ind w:left="709"/>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bCs/>
          <w:sz w:val="18"/>
          <w:szCs w:val="18"/>
          <w:lang w:eastAsia="es-MX" w:bidi="en-US"/>
        </w:rPr>
        <w:t>Lineamientos:</w:t>
      </w:r>
      <w:r w:rsidRPr="001741E6">
        <w:rPr>
          <w:rFonts w:ascii="Gothic720 BT" w:eastAsia="Times New Roman" w:hAnsi="Gothic720 BT" w:cs="Times New Roman"/>
          <w:bCs/>
          <w:sz w:val="18"/>
          <w:szCs w:val="18"/>
          <w:lang w:eastAsia="es-MX" w:bidi="en-US"/>
        </w:rPr>
        <w:t xml:space="preserve"> Lineamientos para la elaboración, entrega de minutas y dictámenes de las sesiones de las comisiones permanentes y transitorias del instituto electoral del estado de Querétaro.</w:t>
      </w:r>
    </w:p>
    <w:p w:rsidR="00462C94" w:rsidRPr="001741E6" w:rsidRDefault="00462C94" w:rsidP="00462C94">
      <w:pPr>
        <w:spacing w:after="0" w:line="240" w:lineRule="auto"/>
        <w:ind w:left="709"/>
        <w:rPr>
          <w:rFonts w:ascii="Gothic720 BT" w:eastAsia="Calibri" w:hAnsi="Gothic720 BT" w:cs="Times New Roman"/>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Dictamen:</w:t>
      </w:r>
      <w:r w:rsidRPr="001741E6">
        <w:rPr>
          <w:rFonts w:ascii="Gothic720 BT" w:eastAsia="Times New Roman" w:hAnsi="Gothic720 BT" w:cs="Times New Roman"/>
          <w:bCs/>
          <w:sz w:val="18"/>
          <w:szCs w:val="18"/>
          <w:lang w:eastAsia="es-MX" w:bidi="en-US"/>
        </w:rPr>
        <w:t xml:space="preserve"> Documento, aprobado por las Comisiones, mediante el cual se da cuenta de los asuntos de su competencia al Consejo General.</w:t>
      </w:r>
    </w:p>
    <w:p w:rsidR="00462C94" w:rsidRPr="001741E6" w:rsidRDefault="00462C94" w:rsidP="00462C94">
      <w:pPr>
        <w:spacing w:after="0" w:line="240" w:lineRule="auto"/>
        <w:ind w:left="709"/>
        <w:rPr>
          <w:rFonts w:ascii="Gothic720 BT" w:eastAsia="Calibri" w:hAnsi="Gothic720 BT" w:cs="Times New Roman"/>
          <w:b/>
          <w:sz w:val="18"/>
          <w:szCs w:val="18"/>
          <w:lang w:eastAsia="es-MX" w:bidi="en-US"/>
        </w:rPr>
      </w:pPr>
    </w:p>
    <w:p w:rsidR="00462C94" w:rsidRPr="001741E6" w:rsidRDefault="00462C94" w:rsidP="00462C94">
      <w:pPr>
        <w:numPr>
          <w:ilvl w:val="0"/>
          <w:numId w:val="3"/>
        </w:numPr>
        <w:spacing w:after="0"/>
        <w:ind w:left="709"/>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sz w:val="18"/>
          <w:szCs w:val="18"/>
          <w:lang w:eastAsia="es-MX" w:bidi="en-US"/>
        </w:rPr>
        <w:t>Minuta:</w:t>
      </w:r>
      <w:r w:rsidRPr="001741E6">
        <w:rPr>
          <w:rFonts w:ascii="Gothic720 BT" w:eastAsia="Times New Roman" w:hAnsi="Gothic720 BT" w:cs="Times New Roman"/>
          <w:sz w:val="18"/>
          <w:szCs w:val="18"/>
          <w:lang w:eastAsia="es-MX" w:bidi="en-US"/>
        </w:rPr>
        <w:t xml:space="preserve"> Es el documento formal que se elabora de cada sesión a partir de la grabación de la misma, la cual contiene de manera resumida el desarrollo de los puntos del orden del día, así como las intervenciones de los integrantes de las comisiones relacionadas con los asuntos tratados durante la sesión.</w:t>
      </w:r>
    </w:p>
    <w:p w:rsidR="00462C94" w:rsidRDefault="00462C94" w:rsidP="00462C94">
      <w:pPr>
        <w:spacing w:after="0"/>
        <w:ind w:left="709"/>
        <w:jc w:val="center"/>
        <w:rPr>
          <w:rFonts w:ascii="Gothic720 BT" w:eastAsia="Times New Roman" w:hAnsi="Gothic720 BT" w:cs="Times New Roman"/>
          <w:b/>
          <w:bCs/>
          <w:sz w:val="18"/>
          <w:szCs w:val="18"/>
          <w:lang w:eastAsia="es-MX" w:bidi="en-US"/>
        </w:rPr>
      </w:pPr>
    </w:p>
    <w:p w:rsidR="00462C94" w:rsidRPr="001741E6" w:rsidRDefault="00462C94" w:rsidP="00462C94">
      <w:pPr>
        <w:spacing w:after="0"/>
        <w:ind w:left="709"/>
        <w:jc w:val="center"/>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center"/>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CAPÍTULO II</w:t>
      </w: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CARACTERÍSTICAS DE LA ESTRUCTURA</w:t>
      </w: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Y REDACCIÓN DE LAS MINUTAS</w:t>
      </w: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bCs/>
          <w:sz w:val="18"/>
          <w:szCs w:val="18"/>
          <w:lang w:eastAsia="es-MX" w:bidi="en-US"/>
        </w:rPr>
        <w:t xml:space="preserve">Artículo 3. </w:t>
      </w:r>
      <w:r w:rsidRPr="001741E6">
        <w:rPr>
          <w:rFonts w:ascii="Gothic720 BT" w:eastAsia="Times New Roman" w:hAnsi="Gothic720 BT" w:cs="Times New Roman"/>
          <w:bCs/>
          <w:sz w:val="18"/>
          <w:szCs w:val="18"/>
          <w:lang w:eastAsia="es-MX" w:bidi="en-US"/>
        </w:rPr>
        <w:t>La estructura</w:t>
      </w:r>
      <w:r w:rsidRPr="001741E6">
        <w:rPr>
          <w:rFonts w:ascii="Gothic720 BT" w:eastAsia="Times New Roman" w:hAnsi="Gothic720 BT" w:cs="Times New Roman"/>
          <w:b/>
          <w:bCs/>
          <w:sz w:val="18"/>
          <w:szCs w:val="18"/>
          <w:lang w:eastAsia="es-MX" w:bidi="en-US"/>
        </w:rPr>
        <w:t xml:space="preserve"> </w:t>
      </w:r>
      <w:r w:rsidRPr="001741E6">
        <w:rPr>
          <w:rFonts w:ascii="Gothic720 BT" w:eastAsia="Times New Roman" w:hAnsi="Gothic720 BT" w:cs="Times New Roman"/>
          <w:bCs/>
          <w:sz w:val="18"/>
          <w:szCs w:val="18"/>
          <w:lang w:eastAsia="es-MX" w:bidi="en-US"/>
        </w:rPr>
        <w:t xml:space="preserve">de las minutas </w:t>
      </w:r>
      <w:r w:rsidRPr="001741E6">
        <w:rPr>
          <w:rFonts w:ascii="Gothic720 BT" w:eastAsia="Times New Roman" w:hAnsi="Gothic720 BT" w:cs="Times New Roman"/>
          <w:sz w:val="18"/>
          <w:szCs w:val="18"/>
          <w:lang w:eastAsia="es-MX" w:bidi="en-US"/>
        </w:rPr>
        <w:t>deberá atender a las siguientes características:</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Regir su formato de acuerdo a lo establecido por el Manual de Usos y Aplicaciones de la Imagen Gráfica del Instituto;</w:t>
      </w: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spacing w:after="0"/>
        <w:ind w:left="851" w:hanging="283"/>
        <w:jc w:val="both"/>
        <w:rPr>
          <w:rFonts w:ascii="Gothic720 BT" w:eastAsia="Times New Roman" w:hAnsi="Gothic720 BT" w:cs="Times New Roman"/>
          <w:bCs/>
          <w:sz w:val="18"/>
          <w:szCs w:val="18"/>
          <w:lang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Identificar la Comisión, si se trata de comisiones unidas, señalarlo;</w:t>
      </w:r>
    </w:p>
    <w:p w:rsidR="00462C94" w:rsidRPr="001741E6" w:rsidRDefault="00462C94" w:rsidP="00462C94">
      <w:pPr>
        <w:spacing w:after="0"/>
        <w:ind w:left="851" w:hanging="283"/>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Fecha, hora y lugar donde se desarrolló la sesión;</w:t>
      </w:r>
    </w:p>
    <w:p w:rsidR="00462C94" w:rsidRPr="001741E6" w:rsidRDefault="00462C94" w:rsidP="00462C94">
      <w:pPr>
        <w:spacing w:after="0"/>
        <w:ind w:left="851" w:hanging="283"/>
        <w:jc w:val="both"/>
        <w:rPr>
          <w:rFonts w:ascii="Gothic720 BT" w:eastAsia="Times New Roman" w:hAnsi="Gothic720 BT" w:cs="Times New Roman"/>
          <w:bCs/>
          <w:sz w:val="18"/>
          <w:szCs w:val="18"/>
          <w:lang w:eastAsia="es-MX" w:bidi="en-US"/>
        </w:rPr>
      </w:pPr>
    </w:p>
    <w:p w:rsidR="00462C94"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Señalar el tipo de sesión y su numeración de forma consecutiva;</w:t>
      </w:r>
    </w:p>
    <w:p w:rsidR="00462C94" w:rsidRPr="001741E6" w:rsidRDefault="00462C94" w:rsidP="00462C94">
      <w:pPr>
        <w:spacing w:after="0"/>
        <w:ind w:left="851" w:hanging="283"/>
        <w:jc w:val="both"/>
        <w:rPr>
          <w:rFonts w:ascii="Gothic720 BT" w:eastAsia="Times New Roman" w:hAnsi="Gothic720 BT" w:cs="Times New Roman"/>
          <w:bCs/>
          <w:sz w:val="18"/>
          <w:szCs w:val="18"/>
          <w:lang w:eastAsia="es-MX" w:bidi="en-US"/>
        </w:rPr>
      </w:pPr>
    </w:p>
    <w:p w:rsidR="00462C94"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Indicar el nombre completo de quienes integren las comisiones, así como del personal del Instituto que se encuentre presente;</w:t>
      </w:r>
    </w:p>
    <w:p w:rsidR="00462C94" w:rsidRPr="001741E6" w:rsidRDefault="00462C94" w:rsidP="00462C94">
      <w:pPr>
        <w:spacing w:after="0"/>
        <w:ind w:left="851" w:hanging="283"/>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Registrar la asistencia de quien ocupe una Consejería del Consejo general, representantes de partidos políticos no integrantes de las Comisiones de que se trate y personal del Instituto;</w:t>
      </w:r>
    </w:p>
    <w:p w:rsidR="00462C94" w:rsidRPr="001741E6" w:rsidRDefault="00462C94" w:rsidP="00462C94">
      <w:pPr>
        <w:spacing w:after="0"/>
        <w:ind w:left="851" w:hanging="283"/>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Sobre cada punto del orden del día, plasmar de forma resumida la intervención de las personas presentes;</w:t>
      </w:r>
    </w:p>
    <w:p w:rsidR="00462C94" w:rsidRPr="001741E6" w:rsidRDefault="00462C94" w:rsidP="00462C94">
      <w:pPr>
        <w:spacing w:after="0"/>
        <w:ind w:left="851" w:hanging="283"/>
        <w:jc w:val="both"/>
        <w:rPr>
          <w:rFonts w:ascii="Gothic720 BT" w:eastAsia="Times New Roman" w:hAnsi="Gothic720 BT" w:cs="Times New Roman"/>
          <w:bCs/>
          <w:sz w:val="18"/>
          <w:szCs w:val="18"/>
          <w:lang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En caso de recesos, registrar el tiempo de inicio del mismo, así como la hora y el nombre de los integrantes con que se reinicie la sesión;</w:t>
      </w:r>
    </w:p>
    <w:p w:rsidR="00462C94" w:rsidRPr="001741E6" w:rsidRDefault="00462C94" w:rsidP="00462C94">
      <w:pPr>
        <w:spacing w:after="0"/>
        <w:ind w:left="851" w:hanging="283"/>
        <w:jc w:val="both"/>
        <w:rPr>
          <w:rFonts w:ascii="Gothic720 BT" w:eastAsia="Times New Roman" w:hAnsi="Gothic720 BT" w:cs="Times New Roman"/>
          <w:bCs/>
          <w:sz w:val="18"/>
          <w:szCs w:val="18"/>
          <w:lang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Señalar la hora y, en su caso, el día en que terminó la sesión;</w:t>
      </w:r>
    </w:p>
    <w:p w:rsidR="00462C94" w:rsidRPr="001741E6" w:rsidRDefault="00462C94" w:rsidP="00462C94">
      <w:pPr>
        <w:spacing w:after="0"/>
        <w:ind w:left="851" w:hanging="283"/>
        <w:jc w:val="both"/>
        <w:rPr>
          <w:rFonts w:ascii="Gothic720 BT" w:eastAsia="Times New Roman" w:hAnsi="Gothic720 BT" w:cs="Times New Roman"/>
          <w:bCs/>
          <w:sz w:val="18"/>
          <w:szCs w:val="18"/>
          <w:lang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Numerar las páginas y en la última registrar los nombres de las Consejerías del Consejo General y de aquellos que intervinieron en la sesión;</w:t>
      </w:r>
    </w:p>
    <w:p w:rsidR="00462C94" w:rsidRPr="001741E6" w:rsidRDefault="00462C94" w:rsidP="00462C94">
      <w:pPr>
        <w:spacing w:after="0"/>
        <w:ind w:left="851" w:hanging="283"/>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1"/>
        </w:numPr>
        <w:spacing w:after="0"/>
        <w:ind w:left="851" w:hanging="283"/>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Cada página deberá estar rubricada y firmada en la última hoja por las Consejerías del Consejo General que integran la comisión y que asistieron a la sesión, así como por la Secretaría Técnica.</w:t>
      </w:r>
    </w:p>
    <w:p w:rsidR="00462C94" w:rsidRPr="001741E6" w:rsidRDefault="00462C94" w:rsidP="00462C94">
      <w:pPr>
        <w:ind w:left="851" w:hanging="283"/>
        <w:contextualSpacing/>
        <w:rPr>
          <w:rFonts w:ascii="Gothic720 BT" w:eastAsia="Times New Roman" w:hAnsi="Gothic720 BT" w:cs="Times New Roman"/>
          <w:bCs/>
          <w:sz w:val="18"/>
          <w:szCs w:val="18"/>
          <w:lang w:val="es-ES"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Artículo 4.</w:t>
      </w:r>
      <w:r w:rsidRPr="001741E6">
        <w:rPr>
          <w:rFonts w:ascii="Gothic720 BT" w:eastAsia="Times New Roman" w:hAnsi="Gothic720 BT" w:cs="Times New Roman"/>
          <w:sz w:val="18"/>
          <w:szCs w:val="18"/>
          <w:lang w:eastAsia="es-MX" w:bidi="en-US"/>
        </w:rPr>
        <w:t xml:space="preserve"> La elaboración de la minuta deberá estar apoyada en el respaldo del audio y video, para tal fin.</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Artículo 5.</w:t>
      </w:r>
      <w:r w:rsidRPr="001741E6">
        <w:rPr>
          <w:rFonts w:ascii="Gothic720 BT" w:eastAsia="Times New Roman" w:hAnsi="Gothic720 BT" w:cs="Times New Roman"/>
          <w:sz w:val="18"/>
          <w:szCs w:val="18"/>
          <w:lang w:eastAsia="es-MX" w:bidi="en-US"/>
        </w:rPr>
        <w:t xml:space="preserve"> En la redacción de la minuta se deberá atender lo siguiente:</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2"/>
        </w:numPr>
        <w:spacing w:after="0"/>
        <w:ind w:left="851" w:hanging="284"/>
        <w:jc w:val="both"/>
        <w:rPr>
          <w:rFonts w:ascii="Gothic720 BT" w:eastAsia="Times New Roman" w:hAnsi="Gothic720 BT" w:cs="Times New Roman"/>
          <w:sz w:val="18"/>
          <w:szCs w:val="18"/>
          <w:lang w:val="es-ES" w:eastAsia="es-MX" w:bidi="en-US"/>
        </w:rPr>
      </w:pPr>
      <w:r w:rsidRPr="001741E6">
        <w:rPr>
          <w:rFonts w:ascii="Gothic720 BT" w:eastAsia="Times New Roman" w:hAnsi="Gothic720 BT" w:cs="Times New Roman"/>
          <w:sz w:val="18"/>
          <w:szCs w:val="18"/>
          <w:lang w:eastAsia="es-MX" w:bidi="en-US"/>
        </w:rPr>
        <w:t>Redactarse en tiempo pasado;</w:t>
      </w:r>
    </w:p>
    <w:p w:rsidR="00462C94" w:rsidRPr="001741E6" w:rsidRDefault="00462C94" w:rsidP="00462C94">
      <w:pPr>
        <w:spacing w:after="0"/>
        <w:ind w:left="851"/>
        <w:jc w:val="both"/>
        <w:rPr>
          <w:rFonts w:ascii="Gothic720 BT" w:eastAsia="Times New Roman" w:hAnsi="Gothic720 BT" w:cs="Times New Roman"/>
          <w:sz w:val="18"/>
          <w:szCs w:val="18"/>
          <w:lang w:val="es-ES" w:eastAsia="es-MX" w:bidi="en-US"/>
        </w:rPr>
      </w:pPr>
    </w:p>
    <w:p w:rsidR="00462C94" w:rsidRPr="001741E6" w:rsidRDefault="00462C94" w:rsidP="00462C94">
      <w:pPr>
        <w:numPr>
          <w:ilvl w:val="0"/>
          <w:numId w:val="2"/>
        </w:numPr>
        <w:spacing w:after="0"/>
        <w:ind w:left="851" w:hanging="284"/>
        <w:jc w:val="both"/>
        <w:rPr>
          <w:rFonts w:ascii="Gothic720 BT" w:eastAsia="Times New Roman" w:hAnsi="Gothic720 BT" w:cs="Times New Roman"/>
          <w:sz w:val="18"/>
          <w:szCs w:val="18"/>
          <w:lang w:val="es-ES" w:eastAsia="es-MX" w:bidi="en-US"/>
        </w:rPr>
      </w:pPr>
      <w:r w:rsidRPr="001741E6">
        <w:rPr>
          <w:rFonts w:ascii="Gothic720 BT" w:eastAsia="Times New Roman" w:hAnsi="Gothic720 BT" w:cs="Times New Roman"/>
          <w:sz w:val="18"/>
          <w:szCs w:val="18"/>
          <w:lang w:eastAsia="es-MX" w:bidi="en-US"/>
        </w:rPr>
        <w:t>Cuidar redacción y sintaxis;</w:t>
      </w:r>
    </w:p>
    <w:p w:rsidR="00462C94" w:rsidRPr="001741E6" w:rsidRDefault="00462C94" w:rsidP="00462C94">
      <w:pPr>
        <w:spacing w:after="0"/>
        <w:ind w:left="851"/>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2"/>
        </w:numPr>
        <w:spacing w:after="0"/>
        <w:ind w:left="851" w:hanging="284"/>
        <w:jc w:val="both"/>
        <w:rPr>
          <w:rFonts w:ascii="Gothic720 BT" w:eastAsia="Times New Roman" w:hAnsi="Gothic720 BT" w:cs="Times New Roman"/>
          <w:sz w:val="18"/>
          <w:szCs w:val="18"/>
          <w:lang w:val="es-ES" w:eastAsia="es-MX" w:bidi="en-US"/>
        </w:rPr>
      </w:pPr>
      <w:r w:rsidRPr="001741E6">
        <w:rPr>
          <w:rFonts w:ascii="Gothic720 BT" w:eastAsia="Times New Roman" w:hAnsi="Gothic720 BT" w:cs="Times New Roman"/>
          <w:sz w:val="18"/>
          <w:szCs w:val="18"/>
          <w:lang w:eastAsia="es-MX" w:bidi="en-US"/>
        </w:rPr>
        <w:t>En la primera intervención de cada participante, deberá asentarse el nombre y cargo de quien la realiza, procedido de la intervención, en las posteriores, participaciones, se indicará indistintamente el nombre o el cargo;</w:t>
      </w:r>
    </w:p>
    <w:p w:rsidR="00462C94" w:rsidRPr="001741E6" w:rsidRDefault="00462C94" w:rsidP="00462C94">
      <w:pPr>
        <w:spacing w:after="0"/>
        <w:ind w:left="851"/>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2"/>
        </w:numPr>
        <w:spacing w:after="0"/>
        <w:ind w:left="851" w:hanging="284"/>
        <w:jc w:val="both"/>
        <w:rPr>
          <w:rFonts w:ascii="Gothic720 BT" w:eastAsia="Times New Roman" w:hAnsi="Gothic720 BT" w:cs="Times New Roman"/>
          <w:sz w:val="18"/>
          <w:szCs w:val="18"/>
          <w:lang w:val="es-ES" w:eastAsia="es-MX" w:bidi="en-US"/>
        </w:rPr>
      </w:pPr>
      <w:r w:rsidRPr="001741E6">
        <w:rPr>
          <w:rFonts w:ascii="Gothic720 BT" w:eastAsia="Times New Roman" w:hAnsi="Gothic720 BT" w:cs="Times New Roman"/>
          <w:sz w:val="18"/>
          <w:szCs w:val="18"/>
          <w:lang w:val="es-ES" w:eastAsia="es-MX" w:bidi="en-US"/>
        </w:rPr>
        <w:t>Resumir</w:t>
      </w:r>
      <w:r w:rsidRPr="001741E6">
        <w:rPr>
          <w:rFonts w:ascii="Gothic720 BT" w:eastAsia="Times New Roman" w:hAnsi="Gothic720 BT" w:cs="Times New Roman"/>
          <w:sz w:val="18"/>
          <w:szCs w:val="18"/>
          <w:lang w:eastAsia="es-MX" w:bidi="en-US"/>
        </w:rPr>
        <w:t xml:space="preserve"> el sentido de las ideas y argumentos que exponen quienes intervienen durante la sesión;</w:t>
      </w:r>
    </w:p>
    <w:p w:rsidR="00462C94" w:rsidRPr="001741E6" w:rsidRDefault="00462C94" w:rsidP="00462C94">
      <w:pPr>
        <w:spacing w:after="0"/>
        <w:ind w:left="851"/>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2"/>
        </w:numPr>
        <w:spacing w:after="0"/>
        <w:ind w:left="851" w:hanging="284"/>
        <w:jc w:val="both"/>
        <w:rPr>
          <w:rFonts w:ascii="Gothic720 BT" w:eastAsia="Times New Roman" w:hAnsi="Gothic720 BT" w:cs="Times New Roman"/>
          <w:sz w:val="18"/>
          <w:szCs w:val="18"/>
          <w:lang w:val="es-ES" w:eastAsia="es-MX" w:bidi="en-US"/>
        </w:rPr>
      </w:pPr>
      <w:r w:rsidRPr="001741E6">
        <w:rPr>
          <w:rFonts w:ascii="Gothic720 BT" w:eastAsia="Times New Roman" w:hAnsi="Gothic720 BT" w:cs="Times New Roman"/>
          <w:sz w:val="18"/>
          <w:szCs w:val="18"/>
          <w:lang w:val="es-ES" w:eastAsia="es-MX" w:bidi="en-US"/>
        </w:rPr>
        <w:t xml:space="preserve">Únicamente se transcribirá la participación </w:t>
      </w:r>
      <w:r w:rsidRPr="001741E6">
        <w:rPr>
          <w:rFonts w:ascii="Gothic720 BT" w:eastAsia="Times New Roman" w:hAnsi="Gothic720 BT" w:cs="Times New Roman"/>
          <w:sz w:val="18"/>
          <w:szCs w:val="18"/>
          <w:lang w:eastAsia="es-MX" w:bidi="en-US"/>
        </w:rPr>
        <w:t xml:space="preserve">textualmente a petición expresa de quien en su momento haya intervenido en la sesión y así lo considere necesario; </w:t>
      </w:r>
    </w:p>
    <w:p w:rsidR="00462C94" w:rsidRDefault="00462C94" w:rsidP="00462C94">
      <w:pPr>
        <w:spacing w:after="0"/>
        <w:ind w:left="851"/>
        <w:jc w:val="both"/>
        <w:rPr>
          <w:rFonts w:ascii="Gothic720 BT" w:eastAsia="Times New Roman" w:hAnsi="Gothic720 BT" w:cs="Times New Roman"/>
          <w:sz w:val="18"/>
          <w:szCs w:val="18"/>
          <w:lang w:eastAsia="es-MX" w:bidi="en-US"/>
        </w:rPr>
      </w:pPr>
    </w:p>
    <w:p w:rsidR="00462C94" w:rsidRDefault="00462C94" w:rsidP="00462C94">
      <w:pPr>
        <w:spacing w:after="0"/>
        <w:ind w:left="851"/>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851"/>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2"/>
        </w:numPr>
        <w:spacing w:after="0"/>
        <w:ind w:left="851" w:hanging="284"/>
        <w:jc w:val="both"/>
        <w:rPr>
          <w:rFonts w:ascii="Gothic720 BT" w:eastAsia="Times New Roman" w:hAnsi="Gothic720 BT" w:cs="Times New Roman"/>
          <w:sz w:val="18"/>
          <w:szCs w:val="18"/>
          <w:lang w:val="es-ES" w:eastAsia="es-MX" w:bidi="en-US"/>
        </w:rPr>
      </w:pPr>
      <w:r w:rsidRPr="001741E6">
        <w:rPr>
          <w:rFonts w:ascii="Gothic720 BT" w:eastAsia="Times New Roman" w:hAnsi="Gothic720 BT" w:cs="Times New Roman"/>
          <w:sz w:val="18"/>
          <w:szCs w:val="18"/>
          <w:lang w:val="es-ES" w:eastAsia="es-MX" w:bidi="en-US"/>
        </w:rPr>
        <w:t>Deberá quedar asentado, en el punto correspondiente, el nombre del o los documentos que, en su caso, acompañaron a la convocatoria. Se registrará que se conoció de su contenido, así como las observaciones que se hicieron a los mismos y el sentido de su aprobación, en su caso;</w:t>
      </w:r>
    </w:p>
    <w:p w:rsidR="00462C94" w:rsidRPr="001741E6" w:rsidRDefault="00462C94" w:rsidP="00462C94">
      <w:pPr>
        <w:spacing w:after="0"/>
        <w:ind w:left="851"/>
        <w:jc w:val="both"/>
        <w:rPr>
          <w:rFonts w:ascii="Gothic720 BT" w:eastAsia="Times New Roman" w:hAnsi="Gothic720 BT" w:cs="Times New Roman"/>
          <w:sz w:val="18"/>
          <w:szCs w:val="18"/>
          <w:lang w:eastAsia="es-MX" w:bidi="en-US"/>
        </w:rPr>
      </w:pPr>
    </w:p>
    <w:p w:rsidR="00462C94" w:rsidRPr="001741E6" w:rsidRDefault="00462C94" w:rsidP="00462C94">
      <w:pPr>
        <w:numPr>
          <w:ilvl w:val="0"/>
          <w:numId w:val="2"/>
        </w:numPr>
        <w:spacing w:after="0"/>
        <w:ind w:left="851" w:hanging="284"/>
        <w:jc w:val="both"/>
        <w:rPr>
          <w:rFonts w:ascii="Gothic720 BT" w:eastAsia="Times New Roman" w:hAnsi="Gothic720 BT" w:cs="Times New Roman"/>
          <w:sz w:val="18"/>
          <w:szCs w:val="18"/>
          <w:lang w:val="es-ES" w:eastAsia="es-MX" w:bidi="en-US"/>
        </w:rPr>
      </w:pPr>
      <w:r w:rsidRPr="001741E6">
        <w:rPr>
          <w:rFonts w:ascii="Gothic720 BT" w:eastAsia="Times New Roman" w:hAnsi="Gothic720 BT" w:cs="Times New Roman"/>
          <w:sz w:val="18"/>
          <w:szCs w:val="18"/>
          <w:lang w:val="es-ES" w:eastAsia="es-MX" w:bidi="en-US"/>
        </w:rPr>
        <w:lastRenderedPageBreak/>
        <w:t>Si las Comisiones conocieran de algún procedimiento, deberá darse cuenta del mismo, así como el sentido de las participaciones y la determinación que se tome.</w:t>
      </w:r>
    </w:p>
    <w:p w:rsidR="00462C94" w:rsidRPr="001741E6" w:rsidRDefault="00462C94" w:rsidP="00462C94">
      <w:pPr>
        <w:spacing w:after="0"/>
        <w:ind w:left="851"/>
        <w:jc w:val="both"/>
        <w:rPr>
          <w:rFonts w:ascii="Gothic720 BT" w:eastAsia="Times New Roman" w:hAnsi="Gothic720 BT" w:cs="Times New Roman"/>
          <w:b/>
          <w:bCs/>
          <w:sz w:val="18"/>
          <w:szCs w:val="18"/>
          <w:lang w:eastAsia="es-MX" w:bidi="en-US"/>
        </w:rPr>
      </w:pPr>
    </w:p>
    <w:p w:rsidR="00462C94" w:rsidRDefault="00462C94" w:rsidP="00462C94">
      <w:pPr>
        <w:spacing w:after="0"/>
        <w:ind w:left="284"/>
        <w:jc w:val="center"/>
        <w:rPr>
          <w:rFonts w:ascii="Gothic720 BT" w:eastAsia="Times New Roman" w:hAnsi="Gothic720 BT" w:cs="Times New Roman"/>
          <w:b/>
          <w:bCs/>
          <w:sz w:val="18"/>
          <w:szCs w:val="18"/>
          <w:lang w:eastAsia="es-MX" w:bidi="en-US"/>
        </w:rPr>
      </w:pPr>
    </w:p>
    <w:p w:rsidR="00462C94" w:rsidRDefault="00462C94" w:rsidP="00462C94">
      <w:pPr>
        <w:spacing w:after="0"/>
        <w:ind w:left="284"/>
        <w:jc w:val="center"/>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CAPÍTULO III</w:t>
      </w:r>
    </w:p>
    <w:p w:rsidR="00462C94" w:rsidRPr="001741E6" w:rsidRDefault="00462C94" w:rsidP="00462C94">
      <w:pPr>
        <w:spacing w:after="0"/>
        <w:ind w:left="284"/>
        <w:jc w:val="center"/>
        <w:rPr>
          <w:rFonts w:ascii="Gothic720 BT" w:eastAsia="Times New Roman" w:hAnsi="Gothic720 BT" w:cs="Times New Roman"/>
          <w:b/>
          <w:sz w:val="18"/>
          <w:szCs w:val="18"/>
          <w:lang w:eastAsia="es-MX" w:bidi="en-US"/>
        </w:rPr>
      </w:pPr>
      <w:r w:rsidRPr="001741E6">
        <w:rPr>
          <w:rFonts w:ascii="Gothic720 BT" w:eastAsia="Times New Roman" w:hAnsi="Gothic720 BT" w:cs="Times New Roman"/>
          <w:b/>
          <w:sz w:val="18"/>
          <w:szCs w:val="18"/>
          <w:lang w:eastAsia="es-MX" w:bidi="en-US"/>
        </w:rPr>
        <w:t>REVISIÓN, APROBACIÓN Y ENTREGA</w:t>
      </w:r>
    </w:p>
    <w:p w:rsidR="00462C94" w:rsidRPr="001741E6" w:rsidRDefault="00462C94" w:rsidP="00462C94">
      <w:pPr>
        <w:spacing w:after="0"/>
        <w:ind w:left="284"/>
        <w:jc w:val="center"/>
        <w:rPr>
          <w:rFonts w:ascii="Gothic720 BT" w:eastAsia="Times New Roman" w:hAnsi="Gothic720 BT" w:cs="Times New Roman"/>
          <w:b/>
          <w:sz w:val="18"/>
          <w:szCs w:val="18"/>
          <w:lang w:eastAsia="es-MX" w:bidi="en-US"/>
        </w:rPr>
      </w:pPr>
      <w:r w:rsidRPr="001741E6">
        <w:rPr>
          <w:rFonts w:ascii="Gothic720 BT" w:eastAsia="Times New Roman" w:hAnsi="Gothic720 BT" w:cs="Times New Roman"/>
          <w:b/>
          <w:sz w:val="18"/>
          <w:szCs w:val="18"/>
          <w:lang w:eastAsia="es-MX" w:bidi="en-US"/>
        </w:rPr>
        <w:t>DE LAS MINUTAS</w:t>
      </w:r>
    </w:p>
    <w:p w:rsidR="00462C94" w:rsidRPr="001741E6" w:rsidRDefault="00462C94" w:rsidP="00462C94">
      <w:pPr>
        <w:spacing w:after="0"/>
        <w:ind w:left="284"/>
        <w:jc w:val="both"/>
        <w:rPr>
          <w:rFonts w:ascii="Gothic720 BT" w:eastAsia="Times New Roman" w:hAnsi="Gothic720 BT" w:cs="Times New Roman"/>
          <w:b/>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 xml:space="preserve">Artículo 6. </w:t>
      </w:r>
      <w:r w:rsidRPr="001741E6">
        <w:rPr>
          <w:rFonts w:ascii="Gothic720 BT" w:eastAsia="Times New Roman" w:hAnsi="Gothic720 BT" w:cs="Times New Roman"/>
          <w:sz w:val="18"/>
          <w:szCs w:val="18"/>
          <w:lang w:eastAsia="es-MX" w:bidi="en-US"/>
        </w:rPr>
        <w:t>En un plazo no mayor a tres días hábiles</w:t>
      </w:r>
      <w:r w:rsidRPr="001741E6">
        <w:rPr>
          <w:rFonts w:ascii="Gothic720 BT" w:eastAsia="Times New Roman" w:hAnsi="Gothic720 BT" w:cs="Times New Roman"/>
          <w:b/>
          <w:sz w:val="18"/>
          <w:szCs w:val="18"/>
          <w:lang w:eastAsia="es-MX" w:bidi="en-US"/>
        </w:rPr>
        <w:t xml:space="preserve"> </w:t>
      </w:r>
      <w:r w:rsidRPr="001741E6">
        <w:rPr>
          <w:rFonts w:ascii="Gothic720 BT" w:eastAsia="Times New Roman" w:hAnsi="Gothic720 BT" w:cs="Times New Roman"/>
          <w:sz w:val="18"/>
          <w:szCs w:val="18"/>
          <w:lang w:eastAsia="es-MX" w:bidi="en-US"/>
        </w:rPr>
        <w:t>la Secretaría Técnica turnará a las Consejerías del Consejo General que intervinieron en la sesión, una minuta preliminar para sus observaciones.</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sz w:val="18"/>
          <w:szCs w:val="18"/>
          <w:lang w:eastAsia="es-MX" w:bidi="en-US"/>
        </w:rPr>
        <w:t>Durante los procesos electorales se estará a lo dispuesto por la Ley de Medios de Impugnación en Materia Electoral del Estado de Querétaro.</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Artículo 7.</w:t>
      </w:r>
      <w:r w:rsidRPr="001741E6">
        <w:rPr>
          <w:rFonts w:ascii="Gothic720 BT" w:eastAsia="Times New Roman" w:hAnsi="Gothic720 BT" w:cs="Times New Roman"/>
          <w:sz w:val="18"/>
          <w:szCs w:val="18"/>
          <w:lang w:eastAsia="es-MX" w:bidi="en-US"/>
        </w:rPr>
        <w:t xml:space="preserve"> Las Consejerías del Consejo entregarán la minuta con observaciones, si fuera el caso, en un plazo de hasta tres días hábiles; en el supuesto que no devuelva la minuta con las consideraciones respectivas, se entenderá que no tiene observaciones que formular.</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 xml:space="preserve">Artículo 8. </w:t>
      </w:r>
      <w:r w:rsidRPr="001741E6">
        <w:rPr>
          <w:rFonts w:ascii="Gothic720 BT" w:eastAsia="Times New Roman" w:hAnsi="Gothic720 BT" w:cs="Times New Roman"/>
          <w:sz w:val="18"/>
          <w:szCs w:val="18"/>
          <w:lang w:eastAsia="es-MX" w:bidi="en-US"/>
        </w:rPr>
        <w:t>La Secretaría Técnica subsanará las observaciones señaladas por las Consejerías del Consejo que asistieron a la sesión, en un plazo de hasta dos días hábiles y turnará nuevamente la minuta a las Consejerías del Consejo a efecto de que las rubriquen y firmen, de acuerdo a lo señalado en los presentes Lineamientos.</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 xml:space="preserve">Artículo 9. </w:t>
      </w:r>
      <w:r w:rsidRPr="001741E6">
        <w:rPr>
          <w:rFonts w:ascii="Gothic720 BT" w:eastAsia="Times New Roman" w:hAnsi="Gothic720 BT" w:cs="Times New Roman"/>
          <w:sz w:val="18"/>
          <w:szCs w:val="18"/>
          <w:lang w:eastAsia="es-MX" w:bidi="en-US"/>
        </w:rPr>
        <w:t>Mediante oficio firmado por la Presidencia de las Comisiones, se entregarán un tanto en original de la minuta a la Presidencia del Consejo General y a la Secretaría Ejecutiva, junto con los documentos aprobados en la sesión respectiva.</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Artículo 10.</w:t>
      </w:r>
      <w:r w:rsidRPr="001741E6">
        <w:rPr>
          <w:rFonts w:ascii="Gothic720 BT" w:eastAsia="Times New Roman" w:hAnsi="Gothic720 BT" w:cs="Times New Roman"/>
          <w:sz w:val="18"/>
          <w:szCs w:val="18"/>
          <w:lang w:eastAsia="es-MX" w:bidi="en-US"/>
        </w:rPr>
        <w:t xml:space="preserve"> Los plazos previstos en este capítulo, pueden ser ampliados por un plazo igual a consideración de la Presidencia de las Comisiones.</w:t>
      </w:r>
    </w:p>
    <w:p w:rsidR="00462C94"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center"/>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CAPÍTULO IV</w:t>
      </w: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CARACTERÍSTICAS DE LA ESTRUCTURA</w:t>
      </w: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Y REDACCIÓN DE LOS DICTÁMENES.</w:t>
      </w: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 xml:space="preserve">Artículo 11. </w:t>
      </w:r>
      <w:r w:rsidRPr="001741E6">
        <w:rPr>
          <w:rFonts w:ascii="Gothic720 BT" w:eastAsia="Times New Roman" w:hAnsi="Gothic720 BT" w:cs="Times New Roman"/>
          <w:bCs/>
          <w:sz w:val="18"/>
          <w:szCs w:val="18"/>
          <w:lang w:eastAsia="es-MX" w:bidi="en-US"/>
        </w:rPr>
        <w:t>La estructura de los dictámenes deberá atender las siguientes características:</w:t>
      </w: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Pr="001741E6" w:rsidRDefault="00462C94" w:rsidP="00462C94">
      <w:pPr>
        <w:numPr>
          <w:ilvl w:val="0"/>
          <w:numId w:val="4"/>
        </w:numPr>
        <w:spacing w:after="0"/>
        <w:ind w:left="851" w:hanging="142"/>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Regir su formato de acuerdo a lo establecido por el Manual de Usos y Aplicaciones de la Imagen Gráfica del Instituto Electoral del Estado de Querétaro;</w:t>
      </w:r>
    </w:p>
    <w:p w:rsidR="00462C94" w:rsidRPr="001741E6"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4"/>
        </w:numPr>
        <w:spacing w:after="0"/>
        <w:ind w:left="851" w:hanging="142"/>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Encabezado, el cual contendrá el nombre de las Comisiones participantes en el dictamen, así como el asunto que se someterá a consideración del Consejo General;</w:t>
      </w:r>
    </w:p>
    <w:p w:rsidR="00462C94" w:rsidRPr="001741E6"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4"/>
        </w:numPr>
        <w:spacing w:after="0"/>
        <w:ind w:left="851" w:hanging="142"/>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 xml:space="preserve">Antecedentes, los cuales deberán ser ordenados de manera cronológica, separados por apartados de números arábigos. </w:t>
      </w: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4"/>
        </w:numPr>
        <w:spacing w:after="0"/>
        <w:ind w:left="851" w:hanging="142"/>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Considerandos, los cuales deberán expresar los razonamientos lógico-jurídicos que sustentan al dictamen, separados por apartados con números romanos.</w:t>
      </w:r>
    </w:p>
    <w:p w:rsidR="00462C94" w:rsidRPr="001741E6"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4"/>
        </w:numPr>
        <w:spacing w:after="0"/>
        <w:ind w:left="851" w:hanging="142"/>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Dictamen, consistente en los puntos de dictamen, que señalen con claridad el sentido de la propuesta que se pone a consideración de las Comisiones, el cual debe guardar estrecha relación con los considerandos, separados por apartados de números ordinales.</w:t>
      </w:r>
    </w:p>
    <w:p w:rsidR="00462C94" w:rsidRPr="001741E6"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numPr>
          <w:ilvl w:val="0"/>
          <w:numId w:val="4"/>
        </w:numPr>
        <w:spacing w:after="0"/>
        <w:ind w:left="851" w:hanging="142"/>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Cs/>
          <w:sz w:val="18"/>
          <w:szCs w:val="18"/>
          <w:lang w:val="es-ES" w:eastAsia="es-MX" w:bidi="en-US"/>
        </w:rPr>
        <w:t xml:space="preserve">Pie de dictamen, que deberá contener los nombres de las Consejerías del Consejo General así como de la Secretaría Técnica, así como día, mes y año. </w:t>
      </w:r>
    </w:p>
    <w:p w:rsidR="00462C94" w:rsidRPr="001741E6" w:rsidRDefault="00462C94" w:rsidP="00462C94">
      <w:pPr>
        <w:spacing w:after="0"/>
        <w:ind w:left="851"/>
        <w:jc w:val="both"/>
        <w:rPr>
          <w:rFonts w:ascii="Gothic720 BT" w:eastAsia="Times New Roman" w:hAnsi="Gothic720 BT" w:cs="Times New Roman"/>
          <w:bCs/>
          <w:sz w:val="18"/>
          <w:szCs w:val="18"/>
          <w:lang w:val="es-ES"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
          <w:bCs/>
          <w:sz w:val="18"/>
          <w:szCs w:val="18"/>
          <w:lang w:val="es-ES" w:eastAsia="es-MX" w:bidi="en-US"/>
        </w:rPr>
        <w:t>Artículo 12.</w:t>
      </w:r>
      <w:r w:rsidRPr="001741E6">
        <w:rPr>
          <w:rFonts w:ascii="Gothic720 BT" w:eastAsia="Times New Roman" w:hAnsi="Gothic720 BT" w:cs="Times New Roman"/>
          <w:bCs/>
          <w:sz w:val="18"/>
          <w:szCs w:val="18"/>
          <w:lang w:val="es-ES" w:eastAsia="es-MX" w:bidi="en-US"/>
        </w:rPr>
        <w:t xml:space="preserve"> Cada página deberá estar rubricada en cada una de las fojas y firmada en la última foja por las Consejerías del Consejo que integran la comisión y que asistieron a la sesión, incluyendo a la Secretaría Técnica.</w:t>
      </w:r>
    </w:p>
    <w:p w:rsidR="00462C94" w:rsidRPr="001741E6" w:rsidRDefault="00462C94" w:rsidP="00462C94">
      <w:pPr>
        <w:spacing w:after="0"/>
        <w:ind w:left="284"/>
        <w:jc w:val="both"/>
        <w:rPr>
          <w:rFonts w:ascii="Gothic720 BT" w:eastAsia="Times New Roman" w:hAnsi="Gothic720 BT" w:cs="Times New Roman"/>
          <w:bCs/>
          <w:sz w:val="18"/>
          <w:szCs w:val="18"/>
          <w:lang w:val="es-ES"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val="es-ES" w:eastAsia="es-MX" w:bidi="en-US"/>
        </w:rPr>
      </w:pPr>
      <w:r w:rsidRPr="001741E6">
        <w:rPr>
          <w:rFonts w:ascii="Gothic720 BT" w:eastAsia="Times New Roman" w:hAnsi="Gothic720 BT" w:cs="Times New Roman"/>
          <w:b/>
          <w:bCs/>
          <w:sz w:val="18"/>
          <w:szCs w:val="18"/>
          <w:lang w:val="es-ES" w:eastAsia="es-MX" w:bidi="en-US"/>
        </w:rPr>
        <w:t>Artículo 13.</w:t>
      </w:r>
      <w:r w:rsidRPr="001741E6">
        <w:rPr>
          <w:rFonts w:ascii="Gothic720 BT" w:eastAsia="Times New Roman" w:hAnsi="Gothic720 BT" w:cs="Times New Roman"/>
          <w:bCs/>
          <w:sz w:val="18"/>
          <w:szCs w:val="18"/>
          <w:lang w:val="es-ES" w:eastAsia="es-MX" w:bidi="en-US"/>
        </w:rPr>
        <w:t xml:space="preserve"> Cada dictamen se firmará por triplicado.</w:t>
      </w: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 xml:space="preserve">Artículo 14. </w:t>
      </w:r>
      <w:r w:rsidRPr="001741E6">
        <w:rPr>
          <w:rFonts w:ascii="Gothic720 BT" w:eastAsia="Times New Roman" w:hAnsi="Gothic720 BT" w:cs="Times New Roman"/>
          <w:bCs/>
          <w:sz w:val="18"/>
          <w:szCs w:val="18"/>
          <w:lang w:eastAsia="es-MX" w:bidi="en-US"/>
        </w:rPr>
        <w:t>El dictamen será remitido a la Secretaría Ejecutiva a efecto de que, en su caso, sea remitido al Consejo General.</w:t>
      </w: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Default="00462C94" w:rsidP="00462C94">
      <w:pPr>
        <w:spacing w:after="0"/>
        <w:ind w:left="284"/>
        <w:jc w:val="center"/>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CAPÍTULO V</w:t>
      </w:r>
    </w:p>
    <w:p w:rsidR="00462C94" w:rsidRPr="001741E6" w:rsidRDefault="00462C94" w:rsidP="00462C94">
      <w:pPr>
        <w:spacing w:after="0"/>
        <w:ind w:left="284"/>
        <w:jc w:val="center"/>
        <w:rPr>
          <w:rFonts w:ascii="Gothic720 BT" w:eastAsia="Times New Roman" w:hAnsi="Gothic720 BT" w:cs="Times New Roman"/>
          <w:b/>
          <w:sz w:val="18"/>
          <w:szCs w:val="18"/>
          <w:lang w:eastAsia="es-MX" w:bidi="en-US"/>
        </w:rPr>
      </w:pPr>
      <w:r w:rsidRPr="001741E6">
        <w:rPr>
          <w:rFonts w:ascii="Gothic720 BT" w:eastAsia="Times New Roman" w:hAnsi="Gothic720 BT" w:cs="Times New Roman"/>
          <w:b/>
          <w:sz w:val="18"/>
          <w:szCs w:val="18"/>
          <w:lang w:eastAsia="es-MX" w:bidi="en-US"/>
        </w:rPr>
        <w:t>REVISIÓN, APROBACIÓN Y ENTREGA</w:t>
      </w:r>
    </w:p>
    <w:p w:rsidR="00462C94" w:rsidRPr="001741E6" w:rsidRDefault="00462C94" w:rsidP="00462C94">
      <w:pPr>
        <w:spacing w:after="0"/>
        <w:ind w:left="284"/>
        <w:jc w:val="center"/>
        <w:rPr>
          <w:rFonts w:ascii="Gothic720 BT" w:eastAsia="Times New Roman" w:hAnsi="Gothic720 BT" w:cs="Times New Roman"/>
          <w:b/>
          <w:sz w:val="18"/>
          <w:szCs w:val="18"/>
          <w:lang w:eastAsia="es-MX" w:bidi="en-US"/>
        </w:rPr>
      </w:pPr>
      <w:r w:rsidRPr="001741E6">
        <w:rPr>
          <w:rFonts w:ascii="Gothic720 BT" w:eastAsia="Times New Roman" w:hAnsi="Gothic720 BT" w:cs="Times New Roman"/>
          <w:b/>
          <w:sz w:val="18"/>
          <w:szCs w:val="18"/>
          <w:lang w:eastAsia="es-MX" w:bidi="en-US"/>
        </w:rPr>
        <w:t>DE LOS DICTÁMENES</w:t>
      </w: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 xml:space="preserve">Artículo 15. </w:t>
      </w:r>
      <w:r w:rsidRPr="001741E6">
        <w:rPr>
          <w:rFonts w:ascii="Gothic720 BT" w:eastAsia="Times New Roman" w:hAnsi="Gothic720 BT" w:cs="Times New Roman"/>
          <w:bCs/>
          <w:sz w:val="18"/>
          <w:szCs w:val="18"/>
          <w:lang w:eastAsia="es-MX" w:bidi="en-US"/>
        </w:rPr>
        <w:t>La elaboración de los dictámenes, derivados del ejercicio de las funciones de las Comisiones le corresponden a la Secretaría Técnica.</w:t>
      </w: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 xml:space="preserve">Artículo 16. </w:t>
      </w:r>
      <w:r w:rsidRPr="001741E6">
        <w:rPr>
          <w:rFonts w:ascii="Gothic720 BT" w:eastAsia="Times New Roman" w:hAnsi="Gothic720 BT" w:cs="Times New Roman"/>
          <w:bCs/>
          <w:sz w:val="18"/>
          <w:szCs w:val="18"/>
          <w:lang w:eastAsia="es-MX" w:bidi="en-US"/>
        </w:rPr>
        <w:t>El dictamen deberá acompañar la convocatoria a sesión, cuando este sea incluido en los puntos del orden del día para su aprobación, en su caso.</w:t>
      </w: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bCs/>
          <w:sz w:val="18"/>
          <w:szCs w:val="18"/>
          <w:lang w:eastAsia="es-MX" w:bidi="en-US"/>
        </w:rPr>
        <w:t xml:space="preserve">Artículo 17. </w:t>
      </w:r>
      <w:r w:rsidRPr="001741E6">
        <w:rPr>
          <w:rFonts w:ascii="Gothic720 BT" w:eastAsia="Times New Roman" w:hAnsi="Gothic720 BT" w:cs="Times New Roman"/>
          <w:bCs/>
          <w:sz w:val="18"/>
          <w:szCs w:val="18"/>
          <w:lang w:eastAsia="es-MX" w:bidi="en-US"/>
        </w:rPr>
        <w:t>Si hubiere observaciones al dictamen durante la sesión, deberán ser subsanadas por la Secretaría de la Comisión en un plazo no mayor a dos días hábiles.</w:t>
      </w: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bCs/>
          <w:sz w:val="18"/>
          <w:szCs w:val="18"/>
          <w:lang w:eastAsia="es-MX" w:bidi="en-US"/>
        </w:rPr>
        <w:t>Artículo 18.</w:t>
      </w:r>
      <w:r w:rsidRPr="001741E6">
        <w:rPr>
          <w:rFonts w:ascii="Gothic720 BT" w:eastAsia="Times New Roman" w:hAnsi="Gothic720 BT" w:cs="Times New Roman"/>
          <w:bCs/>
          <w:sz w:val="18"/>
          <w:szCs w:val="18"/>
          <w:lang w:eastAsia="es-MX" w:bidi="en-US"/>
        </w:rPr>
        <w:t xml:space="preserve"> Una vez incorporadas las observaciones, la Secretaría Técnica recabará las</w:t>
      </w:r>
      <w:r w:rsidRPr="001741E6">
        <w:rPr>
          <w:rFonts w:ascii="Gothic720 BT" w:eastAsia="Times New Roman" w:hAnsi="Gothic720 BT" w:cs="Times New Roman"/>
          <w:sz w:val="18"/>
          <w:szCs w:val="18"/>
          <w:lang w:eastAsia="es-MX" w:bidi="en-US"/>
        </w:rPr>
        <w:t xml:space="preserve"> rúbricas y firmas de las Consejerías del Consejo General.</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Pr>
          <w:rFonts w:ascii="Gothic720 BT" w:eastAsia="Times New Roman" w:hAnsi="Gothic720 BT" w:cs="Times New Roman"/>
          <w:b/>
          <w:sz w:val="18"/>
          <w:szCs w:val="18"/>
          <w:lang w:eastAsia="es-MX" w:bidi="en-US"/>
        </w:rPr>
        <w:t>Artículo 19</w:t>
      </w:r>
      <w:r w:rsidRPr="001741E6">
        <w:rPr>
          <w:rFonts w:ascii="Gothic720 BT" w:eastAsia="Times New Roman" w:hAnsi="Gothic720 BT" w:cs="Times New Roman"/>
          <w:b/>
          <w:sz w:val="18"/>
          <w:szCs w:val="18"/>
          <w:lang w:eastAsia="es-MX" w:bidi="en-US"/>
        </w:rPr>
        <w:t>.</w:t>
      </w:r>
      <w:r w:rsidRPr="001741E6">
        <w:rPr>
          <w:rFonts w:ascii="Gothic720 BT" w:eastAsia="Times New Roman" w:hAnsi="Gothic720 BT" w:cs="Times New Roman"/>
          <w:sz w:val="18"/>
          <w:szCs w:val="18"/>
          <w:lang w:eastAsia="es-MX" w:bidi="en-US"/>
        </w:rPr>
        <w:t xml:space="preserve"> Los integrantes de las Comisiones que hayan manifestado un voto particular, concurrente o razonado, éste deberá insertarse al final.</w:t>
      </w: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p>
    <w:p w:rsidR="00462C94" w:rsidRPr="001741E6" w:rsidRDefault="00462C94" w:rsidP="00462C94">
      <w:pPr>
        <w:spacing w:after="0"/>
        <w:ind w:left="284"/>
        <w:jc w:val="center"/>
        <w:rPr>
          <w:rFonts w:ascii="Gothic720 BT" w:eastAsia="Times New Roman" w:hAnsi="Gothic720 BT" w:cs="Times New Roman"/>
          <w:b/>
          <w:bCs/>
          <w:sz w:val="18"/>
          <w:szCs w:val="18"/>
          <w:lang w:eastAsia="es-MX" w:bidi="en-US"/>
        </w:rPr>
      </w:pPr>
      <w:r w:rsidRPr="001741E6">
        <w:rPr>
          <w:rFonts w:ascii="Gothic720 BT" w:eastAsia="Times New Roman" w:hAnsi="Gothic720 BT" w:cs="Times New Roman"/>
          <w:b/>
          <w:bCs/>
          <w:sz w:val="18"/>
          <w:szCs w:val="18"/>
          <w:lang w:eastAsia="es-MX" w:bidi="en-US"/>
        </w:rPr>
        <w:t>TRANSITORIOS</w:t>
      </w: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bCs/>
          <w:sz w:val="18"/>
          <w:szCs w:val="18"/>
          <w:lang w:eastAsia="es-MX" w:bidi="en-US"/>
        </w:rPr>
      </w:pPr>
      <w:r w:rsidRPr="001741E6">
        <w:rPr>
          <w:rFonts w:ascii="Gothic720 BT" w:eastAsia="Times New Roman" w:hAnsi="Gothic720 BT" w:cs="Times New Roman"/>
          <w:b/>
          <w:sz w:val="18"/>
          <w:szCs w:val="18"/>
          <w:lang w:eastAsia="es-MX" w:bidi="en-US"/>
        </w:rPr>
        <w:t>PRIMERO.</w:t>
      </w:r>
      <w:r w:rsidRPr="001741E6">
        <w:rPr>
          <w:rFonts w:ascii="Gothic720 BT" w:eastAsia="Times New Roman" w:hAnsi="Gothic720 BT" w:cs="Times New Roman"/>
          <w:sz w:val="18"/>
          <w:szCs w:val="18"/>
          <w:lang w:eastAsia="es-MX" w:bidi="en-US"/>
        </w:rPr>
        <w:t xml:space="preserve"> Se abrogan los L</w:t>
      </w:r>
      <w:r w:rsidRPr="001741E6">
        <w:rPr>
          <w:rFonts w:ascii="Gothic720 BT" w:eastAsia="Times New Roman" w:hAnsi="Gothic720 BT" w:cs="Times New Roman"/>
          <w:bCs/>
          <w:sz w:val="18"/>
          <w:szCs w:val="18"/>
          <w:lang w:eastAsia="es-MX" w:bidi="en-US"/>
        </w:rPr>
        <w:t>ineamientos para la elaboración y entrega de minutas y dictámenes de las sesiones de las comisiones permanentes y transitorias del Instituto Electoral del Estado de Querétaro.</w:t>
      </w:r>
    </w:p>
    <w:p w:rsidR="00462C94" w:rsidRPr="001741E6" w:rsidRDefault="00462C94" w:rsidP="00462C94">
      <w:pPr>
        <w:spacing w:after="0"/>
        <w:ind w:left="284"/>
        <w:jc w:val="both"/>
        <w:rPr>
          <w:rFonts w:ascii="Gothic720 BT" w:eastAsia="Times New Roman" w:hAnsi="Gothic720 BT" w:cs="Times New Roman"/>
          <w:b/>
          <w:bCs/>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SEGUNDO.</w:t>
      </w:r>
      <w:r w:rsidRPr="001741E6">
        <w:rPr>
          <w:rFonts w:ascii="Gothic720 BT" w:eastAsia="Times New Roman" w:hAnsi="Gothic720 BT" w:cs="Times New Roman"/>
          <w:sz w:val="18"/>
          <w:szCs w:val="18"/>
          <w:lang w:eastAsia="es-MX" w:bidi="en-US"/>
        </w:rPr>
        <w:t xml:space="preserve"> Los presentes Lineamientos entrarán en vigor, una vez que sean aprobados por el Consejo General del Instituto Electoral del Estado de Querétaro.</w:t>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462C94" w:rsidRDefault="00462C94" w:rsidP="00462C94">
      <w:pPr>
        <w:spacing w:after="0"/>
        <w:ind w:left="284"/>
        <w:jc w:val="both"/>
        <w:rPr>
          <w:rFonts w:ascii="Gothic720 BT" w:eastAsia="Times New Roman" w:hAnsi="Gothic720 BT" w:cs="Times New Roman"/>
          <w:b/>
          <w:sz w:val="18"/>
          <w:szCs w:val="18"/>
          <w:lang w:eastAsia="es-MX" w:bidi="en-US"/>
        </w:rPr>
      </w:pPr>
    </w:p>
    <w:p w:rsidR="00462C94" w:rsidRDefault="00462C94" w:rsidP="00462C94">
      <w:pPr>
        <w:spacing w:after="0"/>
        <w:ind w:left="284"/>
        <w:jc w:val="both"/>
        <w:rPr>
          <w:rFonts w:ascii="Gothic720 BT" w:eastAsia="Times New Roman" w:hAnsi="Gothic720 BT" w:cs="Times New Roman"/>
          <w:b/>
          <w:sz w:val="18"/>
          <w:szCs w:val="18"/>
          <w:lang w:eastAsia="es-MX" w:bidi="en-US"/>
        </w:rPr>
      </w:pPr>
    </w:p>
    <w:p w:rsidR="00462C94" w:rsidRDefault="00462C94" w:rsidP="00462C94">
      <w:pPr>
        <w:spacing w:after="0"/>
        <w:ind w:left="284"/>
        <w:jc w:val="both"/>
        <w:rPr>
          <w:rFonts w:ascii="Gothic720 BT" w:eastAsia="Times New Roman" w:hAnsi="Gothic720 BT" w:cs="Times New Roman"/>
          <w:b/>
          <w:sz w:val="18"/>
          <w:szCs w:val="18"/>
          <w:lang w:eastAsia="es-MX" w:bidi="en-US"/>
        </w:rPr>
      </w:pPr>
    </w:p>
    <w:p w:rsidR="00462C94" w:rsidRDefault="00462C94" w:rsidP="00462C94">
      <w:pPr>
        <w:spacing w:after="0"/>
        <w:ind w:left="284"/>
        <w:jc w:val="both"/>
        <w:rPr>
          <w:rFonts w:ascii="Gothic720 BT" w:eastAsia="Times New Roman" w:hAnsi="Gothic720 BT" w:cs="Times New Roman"/>
          <w:b/>
          <w:sz w:val="18"/>
          <w:szCs w:val="18"/>
          <w:lang w:eastAsia="es-MX" w:bidi="en-US"/>
        </w:rPr>
      </w:pP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 xml:space="preserve">TERCERO. </w:t>
      </w:r>
      <w:r w:rsidRPr="001741E6">
        <w:rPr>
          <w:rFonts w:ascii="Gothic720 BT" w:eastAsia="Times New Roman" w:hAnsi="Gothic720 BT" w:cs="Times New Roman"/>
          <w:sz w:val="18"/>
          <w:szCs w:val="18"/>
          <w:lang w:eastAsia="es-MX" w:bidi="en-US"/>
        </w:rPr>
        <w:t>Para los aspectos no previstos se aplicará supletoriamente lo establecido en la Ley Electoral del Estado de Querétaro.</w:t>
      </w:r>
      <w:r w:rsidRPr="001741E6">
        <w:rPr>
          <w:rFonts w:ascii="Gothic720 BT" w:eastAsia="Times New Roman" w:hAnsi="Gothic720 BT" w:cs="Times New Roman"/>
          <w:sz w:val="18"/>
          <w:szCs w:val="18"/>
          <w:lang w:eastAsia="es-MX" w:bidi="en-US"/>
        </w:rPr>
        <w:tab/>
      </w:r>
    </w:p>
    <w:p w:rsidR="00462C94" w:rsidRPr="001741E6" w:rsidRDefault="00462C94" w:rsidP="00462C94">
      <w:pPr>
        <w:spacing w:after="0"/>
        <w:ind w:left="284"/>
        <w:jc w:val="both"/>
        <w:rPr>
          <w:rFonts w:ascii="Gothic720 BT" w:eastAsia="Times New Roman" w:hAnsi="Gothic720 BT" w:cs="Times New Roman"/>
          <w:sz w:val="18"/>
          <w:szCs w:val="18"/>
          <w:lang w:eastAsia="es-MX" w:bidi="en-US"/>
        </w:rPr>
      </w:pPr>
    </w:p>
    <w:p w:rsidR="00A16317" w:rsidRPr="00462C94" w:rsidRDefault="00462C94" w:rsidP="00462C94">
      <w:pPr>
        <w:spacing w:after="0"/>
        <w:ind w:left="284"/>
        <w:jc w:val="both"/>
        <w:rPr>
          <w:rFonts w:ascii="Gothic720 BT" w:eastAsia="Times New Roman" w:hAnsi="Gothic720 BT" w:cs="Times New Roman"/>
          <w:sz w:val="18"/>
          <w:szCs w:val="18"/>
          <w:lang w:eastAsia="es-MX" w:bidi="en-US"/>
        </w:rPr>
      </w:pPr>
      <w:r w:rsidRPr="001741E6">
        <w:rPr>
          <w:rFonts w:ascii="Gothic720 BT" w:eastAsia="Times New Roman" w:hAnsi="Gothic720 BT" w:cs="Times New Roman"/>
          <w:b/>
          <w:sz w:val="18"/>
          <w:szCs w:val="18"/>
          <w:lang w:eastAsia="es-MX" w:bidi="en-US"/>
        </w:rPr>
        <w:t>CUARTO.</w:t>
      </w:r>
      <w:r w:rsidRPr="001741E6">
        <w:rPr>
          <w:rFonts w:ascii="Gothic720 BT" w:eastAsia="Times New Roman" w:hAnsi="Gothic720 BT" w:cs="Times New Roman"/>
          <w:sz w:val="18"/>
          <w:szCs w:val="18"/>
          <w:lang w:eastAsia="es-MX" w:bidi="en-US"/>
        </w:rPr>
        <w:t xml:space="preserve"> Se ordena la publicación de los presentes Lineamientos en el periódico oficial del Gobierno del Estado de Querétaro “La Sombra de Arteaga” y en el sitio de internet del Instituto.</w:t>
      </w:r>
      <w:bookmarkStart w:id="0" w:name="_GoBack"/>
      <w:bookmarkEnd w:id="0"/>
    </w:p>
    <w:sectPr w:rsidR="00A16317" w:rsidRPr="00462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51DFD"/>
    <w:multiLevelType w:val="hybridMultilevel"/>
    <w:tmpl w:val="E81C37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294639"/>
    <w:multiLevelType w:val="hybridMultilevel"/>
    <w:tmpl w:val="E81C37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7736D8D"/>
    <w:multiLevelType w:val="hybridMultilevel"/>
    <w:tmpl w:val="B90470FC"/>
    <w:lvl w:ilvl="0" w:tplc="EA36BE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774B89"/>
    <w:multiLevelType w:val="hybridMultilevel"/>
    <w:tmpl w:val="126E801A"/>
    <w:lvl w:ilvl="0" w:tplc="0C0A0013">
      <w:start w:val="1"/>
      <w:numFmt w:val="upperRoman"/>
      <w:lvlText w:val="%1."/>
      <w:lvlJc w:val="righ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4"/>
    <w:rsid w:val="00462C94"/>
    <w:rsid w:val="00A16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E6AA-30F4-47D5-8203-9E08FD33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9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Mendoza</dc:creator>
  <cp:keywords/>
  <dc:description/>
  <cp:lastModifiedBy>Carlos Mendoza</cp:lastModifiedBy>
  <cp:revision>1</cp:revision>
  <dcterms:created xsi:type="dcterms:W3CDTF">2017-09-01T20:01:00Z</dcterms:created>
  <dcterms:modified xsi:type="dcterms:W3CDTF">2017-09-01T20:03:00Z</dcterms:modified>
</cp:coreProperties>
</file>